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01C222">
      <w:pPr>
        <w:rPr>
          <w:rFonts w:ascii="宋体" w:hAnsi="宋体" w:cs="宋体"/>
          <w:i w:val="0"/>
          <w:iCs w:val="0"/>
          <w:color w:val="auto"/>
          <w:sz w:val="44"/>
          <w:szCs w:val="44"/>
          <w:highlight w:val="none"/>
        </w:rPr>
      </w:pPr>
      <w:r>
        <w:rPr>
          <w:rFonts w:hint="eastAsia" w:ascii="宋体" w:hAnsi="宋体" w:cs="宋体"/>
          <w:i w:val="0"/>
          <w:iCs w:val="0"/>
          <w:color w:val="auto"/>
          <w:sz w:val="44"/>
          <w:szCs w:val="44"/>
          <w:highlight w:val="none"/>
        </w:rPr>
        <w:t xml:space="preserve">               </w:t>
      </w:r>
    </w:p>
    <w:p w14:paraId="4DB3B019">
      <w:pPr>
        <w:pStyle w:val="7"/>
        <w:jc w:val="center"/>
        <w:rPr>
          <w:rFonts w:hint="eastAsia" w:ascii="方正小标宋_GBK" w:hAnsi="方正小标宋_GBK" w:eastAsia="方正小标宋_GBK" w:cs="方正小标宋_GBK"/>
          <w:b w:val="0"/>
          <w:color w:val="000000"/>
          <w:kern w:val="0"/>
          <w:sz w:val="44"/>
          <w:szCs w:val="44"/>
          <w:lang w:val="en-US" w:eastAsia="zh-CN" w:bidi="ar"/>
        </w:rPr>
      </w:pPr>
      <w:r>
        <w:rPr>
          <w:rFonts w:hint="eastAsia" w:ascii="方正小标宋_GBK" w:hAnsi="方正小标宋_GBK" w:eastAsia="方正小标宋_GBK" w:cs="方正小标宋_GBK"/>
          <w:b w:val="0"/>
          <w:color w:val="000000"/>
          <w:kern w:val="0"/>
          <w:sz w:val="44"/>
          <w:szCs w:val="44"/>
          <w:lang w:val="en-US" w:eastAsia="zh-CN" w:bidi="ar"/>
        </w:rPr>
        <w:t>红河州第二人民医院胃镜室清洗消毒工作站</w:t>
      </w:r>
    </w:p>
    <w:p w14:paraId="3D6E38F6">
      <w:pPr>
        <w:pStyle w:val="7"/>
        <w:jc w:val="center"/>
        <w:rPr>
          <w:rFonts w:hint="eastAsia" w:ascii="方正小标宋_GBK" w:hAnsi="方正小标宋_GBK" w:eastAsia="方正小标宋_GBK" w:cs="方正小标宋_GBK"/>
          <w:b w:val="0"/>
          <w:color w:val="000000"/>
          <w:kern w:val="0"/>
          <w:sz w:val="44"/>
          <w:szCs w:val="44"/>
          <w:lang w:val="en-US" w:eastAsia="zh-CN" w:bidi="ar"/>
        </w:rPr>
      </w:pPr>
      <w:r>
        <w:rPr>
          <w:rFonts w:hint="eastAsia" w:ascii="方正小标宋_GBK" w:hAnsi="方正小标宋_GBK" w:eastAsia="方正小标宋_GBK" w:cs="方正小标宋_GBK"/>
          <w:b w:val="0"/>
          <w:color w:val="000000"/>
          <w:kern w:val="0"/>
          <w:sz w:val="44"/>
          <w:szCs w:val="44"/>
          <w:lang w:val="en-US" w:eastAsia="zh-CN" w:bidi="ar"/>
        </w:rPr>
        <w:t>配套设备采购</w:t>
      </w:r>
    </w:p>
    <w:p w14:paraId="23A83512">
      <w:pPr>
        <w:pStyle w:val="7"/>
        <w:rPr>
          <w:rFonts w:ascii="宋体" w:hAnsi="宋体" w:cs="宋体"/>
          <w:b/>
          <w:bCs/>
          <w:i w:val="0"/>
          <w:iCs w:val="0"/>
          <w:color w:val="auto"/>
          <w:sz w:val="28"/>
          <w:szCs w:val="28"/>
          <w:highlight w:val="none"/>
        </w:rPr>
      </w:pPr>
    </w:p>
    <w:p w14:paraId="29C94CFE">
      <w:pPr>
        <w:pStyle w:val="7"/>
        <w:rPr>
          <w:rFonts w:ascii="宋体" w:hAnsi="宋体" w:cs="宋体"/>
          <w:b/>
          <w:bCs/>
          <w:i w:val="0"/>
          <w:iCs w:val="0"/>
          <w:color w:val="auto"/>
          <w:sz w:val="28"/>
          <w:szCs w:val="28"/>
          <w:highlight w:val="none"/>
        </w:rPr>
      </w:pPr>
    </w:p>
    <w:p w14:paraId="4CC2C088">
      <w:pPr>
        <w:rPr>
          <w:rFonts w:ascii="宋体" w:hAnsi="宋体" w:cs="宋体"/>
          <w:b/>
          <w:bCs/>
          <w:i w:val="0"/>
          <w:iCs w:val="0"/>
          <w:color w:val="auto"/>
          <w:sz w:val="28"/>
          <w:szCs w:val="28"/>
          <w:highlight w:val="none"/>
        </w:rPr>
      </w:pPr>
    </w:p>
    <w:p w14:paraId="319F9FD7">
      <w:pPr>
        <w:pStyle w:val="7"/>
      </w:pPr>
    </w:p>
    <w:p w14:paraId="6BF02FE0">
      <w:pPr>
        <w:pStyle w:val="7"/>
        <w:rPr>
          <w:rFonts w:ascii="宋体" w:hAnsi="宋体" w:cs="宋体"/>
          <w:b/>
          <w:bCs/>
          <w:i w:val="0"/>
          <w:iCs w:val="0"/>
          <w:color w:val="auto"/>
          <w:sz w:val="28"/>
          <w:szCs w:val="28"/>
          <w:highlight w:val="none"/>
        </w:rPr>
      </w:pPr>
      <w:r>
        <w:rPr>
          <w:rFonts w:hint="eastAsia" w:ascii="宋体" w:hAnsi="宋体" w:cs="宋体"/>
          <w:b/>
          <w:bCs/>
          <w:i w:val="0"/>
          <w:iCs w:val="0"/>
          <w:color w:val="auto"/>
          <w:sz w:val="28"/>
          <w:szCs w:val="28"/>
          <w:highlight w:val="none"/>
        </w:rPr>
        <w:t xml:space="preserve"> </w:t>
      </w:r>
    </w:p>
    <w:p w14:paraId="3FBDE598">
      <w:pPr>
        <w:jc w:val="center"/>
        <w:rPr>
          <w:rFonts w:ascii="宋体" w:hAnsi="宋体" w:cs="宋体"/>
          <w:i w:val="0"/>
          <w:iCs w:val="0"/>
          <w:color w:val="auto"/>
          <w:sz w:val="28"/>
          <w:szCs w:val="28"/>
          <w:highlight w:val="none"/>
        </w:rPr>
      </w:pPr>
      <w:r>
        <w:rPr>
          <w:rFonts w:hint="eastAsia" w:ascii="宋体" w:hAnsi="宋体" w:cs="宋体"/>
          <w:b/>
          <w:bCs/>
          <w:i w:val="0"/>
          <w:iCs w:val="0"/>
          <w:color w:val="auto"/>
          <w:sz w:val="96"/>
          <w:szCs w:val="96"/>
          <w:highlight w:val="none"/>
          <w:lang w:val="en-US" w:eastAsia="zh-CN"/>
        </w:rPr>
        <w:t xml:space="preserve">招 标 </w:t>
      </w:r>
      <w:r>
        <w:rPr>
          <w:rFonts w:hint="eastAsia" w:ascii="宋体" w:hAnsi="宋体" w:cs="宋体"/>
          <w:b/>
          <w:bCs/>
          <w:i w:val="0"/>
          <w:iCs w:val="0"/>
          <w:color w:val="auto"/>
          <w:sz w:val="96"/>
          <w:szCs w:val="96"/>
          <w:highlight w:val="none"/>
        </w:rPr>
        <w:t>文 件</w:t>
      </w:r>
      <w:r>
        <w:rPr>
          <w:rFonts w:hint="eastAsia" w:ascii="宋体" w:hAnsi="宋体" w:cs="宋体"/>
          <w:i w:val="0"/>
          <w:iCs w:val="0"/>
          <w:color w:val="auto"/>
          <w:sz w:val="28"/>
          <w:szCs w:val="28"/>
          <w:highlight w:val="none"/>
        </w:rPr>
        <w:t xml:space="preserve">  </w:t>
      </w:r>
    </w:p>
    <w:p w14:paraId="0D62CD66">
      <w:pPr>
        <w:pStyle w:val="7"/>
        <w:rPr>
          <w:rFonts w:ascii="宋体" w:hAnsi="宋体" w:cs="宋体"/>
          <w:i w:val="0"/>
          <w:iCs w:val="0"/>
          <w:color w:val="auto"/>
          <w:sz w:val="28"/>
          <w:szCs w:val="28"/>
          <w:highlight w:val="none"/>
        </w:rPr>
      </w:pPr>
    </w:p>
    <w:p w14:paraId="51FA95E1">
      <w:pPr>
        <w:pStyle w:val="7"/>
        <w:rPr>
          <w:rFonts w:ascii="宋体" w:hAnsi="宋体" w:cs="宋体"/>
          <w:i w:val="0"/>
          <w:iCs w:val="0"/>
          <w:color w:val="auto"/>
          <w:sz w:val="28"/>
          <w:szCs w:val="28"/>
          <w:highlight w:val="none"/>
        </w:rPr>
      </w:pPr>
    </w:p>
    <w:p w14:paraId="21A2C4D7">
      <w:pPr>
        <w:rPr>
          <w:rFonts w:ascii="宋体" w:hAnsi="宋体" w:cs="宋体"/>
          <w:i w:val="0"/>
          <w:iCs w:val="0"/>
          <w:color w:val="auto"/>
          <w:sz w:val="28"/>
          <w:szCs w:val="28"/>
          <w:highlight w:val="none"/>
        </w:rPr>
      </w:pPr>
    </w:p>
    <w:p w14:paraId="7A721A31">
      <w:pPr>
        <w:pStyle w:val="7"/>
        <w:rPr>
          <w:rFonts w:ascii="宋体" w:hAnsi="宋体" w:cs="宋体"/>
          <w:i w:val="0"/>
          <w:iCs w:val="0"/>
          <w:color w:val="auto"/>
          <w:sz w:val="28"/>
          <w:szCs w:val="28"/>
          <w:highlight w:val="none"/>
        </w:rPr>
      </w:pPr>
    </w:p>
    <w:p w14:paraId="231A4828">
      <w:pPr>
        <w:rPr>
          <w:rFonts w:ascii="宋体" w:hAnsi="宋体" w:cs="宋体"/>
          <w:i w:val="0"/>
          <w:iCs w:val="0"/>
          <w:color w:val="auto"/>
          <w:sz w:val="28"/>
          <w:szCs w:val="28"/>
          <w:highlight w:val="none"/>
        </w:rPr>
      </w:pPr>
    </w:p>
    <w:p w14:paraId="5EF76035">
      <w:pPr>
        <w:pStyle w:val="7"/>
        <w:rPr>
          <w:rFonts w:ascii="宋体" w:hAnsi="宋体" w:cs="宋体"/>
          <w:i w:val="0"/>
          <w:iCs w:val="0"/>
          <w:color w:val="auto"/>
          <w:sz w:val="28"/>
          <w:szCs w:val="28"/>
          <w:highlight w:val="none"/>
        </w:rPr>
      </w:pPr>
    </w:p>
    <w:p w14:paraId="687ABC6A"/>
    <w:p w14:paraId="1CCEC5F3">
      <w:pPr>
        <w:pStyle w:val="7"/>
        <w:spacing w:line="900" w:lineRule="exact"/>
        <w:ind w:firstLine="643" w:firstLineChars="200"/>
        <w:rPr>
          <w:rFonts w:hint="eastAsia" w:ascii="宋体" w:hAnsi="宋体" w:eastAsia="宋体" w:cs="宋体"/>
          <w:b/>
          <w:i w:val="0"/>
          <w:iCs w:val="0"/>
          <w:color w:val="auto"/>
          <w:sz w:val="32"/>
          <w:szCs w:val="32"/>
          <w:highlight w:val="none"/>
          <w:u w:val="single"/>
          <w:lang w:eastAsia="zh-CN"/>
        </w:rPr>
      </w:pPr>
      <w:r>
        <w:rPr>
          <w:rFonts w:hint="eastAsia" w:ascii="宋体" w:hAnsi="宋体" w:cs="宋体"/>
          <w:b/>
          <w:i w:val="0"/>
          <w:iCs w:val="0"/>
          <w:color w:val="auto"/>
          <w:sz w:val="32"/>
          <w:szCs w:val="32"/>
          <w:highlight w:val="none"/>
        </w:rPr>
        <w:t>招标人：</w:t>
      </w:r>
      <w:r>
        <w:rPr>
          <w:rFonts w:hint="eastAsia" w:ascii="宋体" w:hAnsi="宋体" w:cs="宋体"/>
          <w:b/>
          <w:i w:val="0"/>
          <w:iCs w:val="0"/>
          <w:color w:val="auto"/>
          <w:sz w:val="32"/>
          <w:szCs w:val="32"/>
          <w:highlight w:val="none"/>
          <w:lang w:eastAsia="zh-CN"/>
        </w:rPr>
        <w:t>红河州第二人民医院</w:t>
      </w:r>
    </w:p>
    <w:p w14:paraId="4D0F892F">
      <w:pPr>
        <w:pStyle w:val="7"/>
        <w:spacing w:line="900" w:lineRule="exact"/>
        <w:ind w:firstLine="643" w:firstLineChars="200"/>
        <w:rPr>
          <w:rFonts w:hint="eastAsia" w:ascii="宋体" w:hAnsi="宋体" w:eastAsia="宋体" w:cs="宋体"/>
          <w:i w:val="0"/>
          <w:iCs w:val="0"/>
          <w:color w:val="auto"/>
          <w:sz w:val="32"/>
          <w:szCs w:val="32"/>
          <w:highlight w:val="none"/>
          <w:u w:val="none"/>
          <w:lang w:eastAsia="zh-CN"/>
        </w:rPr>
      </w:pPr>
      <w:r>
        <w:rPr>
          <w:rFonts w:hint="eastAsia" w:ascii="宋体" w:hAnsi="宋体" w:cs="宋体"/>
          <w:b/>
          <w:i w:val="0"/>
          <w:iCs w:val="0"/>
          <w:color w:val="auto"/>
          <w:sz w:val="32"/>
          <w:szCs w:val="32"/>
          <w:highlight w:val="none"/>
        </w:rPr>
        <w:t>日期</w:t>
      </w:r>
      <w:r>
        <w:rPr>
          <w:rFonts w:hint="eastAsia" w:ascii="宋体" w:hAnsi="宋体" w:cs="宋体"/>
          <w:b/>
          <w:i w:val="0"/>
          <w:iCs w:val="0"/>
          <w:color w:val="auto"/>
          <w:sz w:val="32"/>
          <w:szCs w:val="32"/>
          <w:highlight w:val="none"/>
          <w:u w:val="none"/>
        </w:rPr>
        <w:t>：</w:t>
      </w:r>
      <w:r>
        <w:rPr>
          <w:rFonts w:hint="eastAsia" w:ascii="宋体" w:hAnsi="宋体" w:cs="宋体"/>
          <w:b/>
          <w:i w:val="0"/>
          <w:iCs w:val="0"/>
          <w:color w:val="auto"/>
          <w:sz w:val="32"/>
          <w:szCs w:val="32"/>
          <w:highlight w:val="none"/>
          <w:u w:val="none"/>
          <w:lang w:eastAsia="zh-CN"/>
        </w:rPr>
        <w:t>202</w:t>
      </w:r>
      <w:r>
        <w:rPr>
          <w:rFonts w:hint="eastAsia" w:ascii="宋体" w:hAnsi="宋体" w:cs="宋体"/>
          <w:b/>
          <w:i w:val="0"/>
          <w:iCs w:val="0"/>
          <w:color w:val="auto"/>
          <w:sz w:val="32"/>
          <w:szCs w:val="32"/>
          <w:highlight w:val="none"/>
          <w:u w:val="none"/>
          <w:lang w:val="en-US" w:eastAsia="zh-CN"/>
        </w:rPr>
        <w:t>6</w:t>
      </w:r>
      <w:r>
        <w:rPr>
          <w:rFonts w:hint="eastAsia" w:ascii="宋体" w:hAnsi="宋体" w:cs="宋体"/>
          <w:b/>
          <w:i w:val="0"/>
          <w:iCs w:val="0"/>
          <w:color w:val="auto"/>
          <w:sz w:val="32"/>
          <w:szCs w:val="32"/>
          <w:highlight w:val="none"/>
          <w:u w:val="none"/>
          <w:lang w:eastAsia="zh-CN"/>
        </w:rPr>
        <w:t>年</w:t>
      </w:r>
      <w:r>
        <w:rPr>
          <w:rFonts w:hint="eastAsia" w:ascii="宋体" w:hAnsi="宋体" w:cs="宋体"/>
          <w:b/>
          <w:i w:val="0"/>
          <w:iCs w:val="0"/>
          <w:color w:val="auto"/>
          <w:sz w:val="32"/>
          <w:szCs w:val="32"/>
          <w:highlight w:val="none"/>
          <w:u w:val="none"/>
          <w:lang w:val="en-US" w:eastAsia="zh-CN"/>
        </w:rPr>
        <w:t>6</w:t>
      </w:r>
      <w:r>
        <w:rPr>
          <w:rFonts w:hint="eastAsia" w:ascii="宋体" w:hAnsi="宋体" w:cs="宋体"/>
          <w:b/>
          <w:i w:val="0"/>
          <w:iCs w:val="0"/>
          <w:color w:val="auto"/>
          <w:sz w:val="32"/>
          <w:szCs w:val="32"/>
          <w:highlight w:val="none"/>
          <w:u w:val="none"/>
          <w:lang w:eastAsia="zh-CN"/>
        </w:rPr>
        <w:t>月</w:t>
      </w:r>
    </w:p>
    <w:p w14:paraId="0B77904B">
      <w:pPr>
        <w:jc w:val="center"/>
        <w:rPr>
          <w:rFonts w:ascii="宋体" w:hAnsi="宋体" w:cs="宋体"/>
          <w:b/>
          <w:bCs/>
          <w:i w:val="0"/>
          <w:iCs w:val="0"/>
          <w:color w:val="auto"/>
          <w:sz w:val="44"/>
          <w:szCs w:val="44"/>
          <w:highlight w:val="none"/>
        </w:rPr>
        <w:sectPr>
          <w:footerReference r:id="rId7" w:type="first"/>
          <w:headerReference r:id="rId5" w:type="default"/>
          <w:footerReference r:id="rId6" w:type="default"/>
          <w:type w:val="nextColumn"/>
          <w:pgSz w:w="12191" w:h="15819"/>
          <w:pgMar w:top="2106" w:right="1304" w:bottom="1304" w:left="1304" w:header="20" w:footer="737" w:gutter="0"/>
          <w:pgNumType w:fmt="decimal"/>
          <w:cols w:space="720" w:num="1"/>
          <w:titlePg/>
          <w:docGrid w:linePitch="317" w:charSpace="0"/>
        </w:sectPr>
      </w:pPr>
    </w:p>
    <w:p w14:paraId="73D93400">
      <w:pPr>
        <w:jc w:val="center"/>
        <w:rPr>
          <w:rFonts w:ascii="宋体" w:hAnsi="宋体" w:cs="宋体"/>
          <w:b/>
          <w:bCs/>
          <w:i w:val="0"/>
          <w:iCs w:val="0"/>
          <w:color w:val="auto"/>
          <w:sz w:val="44"/>
          <w:szCs w:val="44"/>
          <w:highlight w:val="none"/>
        </w:rPr>
      </w:pPr>
      <w:r>
        <w:rPr>
          <w:rFonts w:hint="eastAsia" w:ascii="宋体" w:hAnsi="宋体" w:cs="宋体"/>
          <w:b/>
          <w:bCs/>
          <w:i w:val="0"/>
          <w:iCs w:val="0"/>
          <w:color w:val="auto"/>
          <w:sz w:val="44"/>
          <w:szCs w:val="44"/>
          <w:highlight w:val="none"/>
        </w:rPr>
        <w:t>目  录</w:t>
      </w:r>
    </w:p>
    <w:p w14:paraId="7E93E161">
      <w:pPr>
        <w:pStyle w:val="33"/>
        <w:tabs>
          <w:tab w:val="right" w:leader="dot" w:pos="9583"/>
        </w:tabs>
      </w:pPr>
      <w:r>
        <w:rPr>
          <w:rFonts w:hint="eastAsia" w:ascii="宋体" w:hAnsi="宋体" w:cs="宋体"/>
          <w:b w:val="0"/>
          <w:bCs w:val="0"/>
          <w:i w:val="0"/>
          <w:iCs w:val="0"/>
          <w:caps w:val="0"/>
          <w:color w:val="auto"/>
          <w:sz w:val="24"/>
          <w:szCs w:val="24"/>
          <w:highlight w:val="none"/>
        </w:rPr>
        <w:fldChar w:fldCharType="begin"/>
      </w:r>
      <w:r>
        <w:rPr>
          <w:rFonts w:hint="eastAsia" w:ascii="宋体" w:hAnsi="宋体" w:cs="宋体"/>
          <w:b w:val="0"/>
          <w:bCs w:val="0"/>
          <w:i w:val="0"/>
          <w:iCs w:val="0"/>
          <w:caps w:val="0"/>
          <w:color w:val="auto"/>
          <w:sz w:val="24"/>
          <w:szCs w:val="24"/>
          <w:highlight w:val="none"/>
        </w:rPr>
        <w:instrText xml:space="preserve"> TOC \o "1-3" \h \z \u </w:instrText>
      </w:r>
      <w:r>
        <w:rPr>
          <w:rFonts w:hint="eastAsia" w:ascii="宋体" w:hAnsi="宋体" w:cs="宋体"/>
          <w:b w:val="0"/>
          <w:bCs w:val="0"/>
          <w:i w:val="0"/>
          <w:iCs w:val="0"/>
          <w:caps w:val="0"/>
          <w:color w:val="auto"/>
          <w:sz w:val="24"/>
          <w:szCs w:val="24"/>
          <w:highlight w:val="none"/>
        </w:rPr>
        <w:fldChar w:fldCharType="separate"/>
      </w:r>
      <w:r>
        <w:rPr>
          <w:rFonts w:hint="eastAsia" w:ascii="宋体" w:hAnsi="宋体" w:cs="宋体"/>
          <w:bCs w:val="0"/>
          <w:i w:val="0"/>
          <w:iCs w:val="0"/>
          <w:caps w:val="0"/>
          <w:color w:val="auto"/>
          <w:szCs w:val="24"/>
          <w:highlight w:val="none"/>
        </w:rPr>
        <w:fldChar w:fldCharType="begin"/>
      </w:r>
      <w:r>
        <w:rPr>
          <w:rFonts w:hint="eastAsia" w:ascii="宋体" w:hAnsi="宋体" w:cs="宋体"/>
          <w:bCs w:val="0"/>
          <w:i w:val="0"/>
          <w:iCs w:val="0"/>
          <w:caps w:val="0"/>
          <w:szCs w:val="24"/>
          <w:highlight w:val="none"/>
        </w:rPr>
        <w:instrText xml:space="preserve"> HYPERLINK \l _Toc29957 </w:instrText>
      </w:r>
      <w:r>
        <w:rPr>
          <w:rFonts w:hint="eastAsia" w:ascii="宋体" w:hAnsi="宋体" w:cs="宋体"/>
          <w:bCs w:val="0"/>
          <w:i w:val="0"/>
          <w:iCs w:val="0"/>
          <w:caps w:val="0"/>
          <w:szCs w:val="24"/>
          <w:highlight w:val="none"/>
        </w:rPr>
        <w:fldChar w:fldCharType="separate"/>
      </w:r>
      <w:r>
        <w:rPr>
          <w:rFonts w:hint="eastAsia"/>
        </w:rPr>
        <w:t xml:space="preserve">第一章 </w:t>
      </w:r>
      <w:r>
        <w:rPr>
          <w:rFonts w:hint="eastAsia"/>
          <w:bCs/>
          <w:szCs w:val="32"/>
          <w:lang w:eastAsia="zh-CN"/>
        </w:rPr>
        <w:t>招标公告</w:t>
      </w:r>
      <w:r>
        <w:tab/>
      </w:r>
      <w:r>
        <w:fldChar w:fldCharType="begin"/>
      </w:r>
      <w:r>
        <w:instrText xml:space="preserve"> PAGEREF _Toc29957 \h </w:instrText>
      </w:r>
      <w:r>
        <w:fldChar w:fldCharType="separate"/>
      </w:r>
      <w:r>
        <w:t>1</w:t>
      </w:r>
      <w:r>
        <w:fldChar w:fldCharType="end"/>
      </w:r>
      <w:r>
        <w:rPr>
          <w:rFonts w:hint="eastAsia" w:ascii="宋体" w:hAnsi="宋体" w:cs="宋体"/>
          <w:bCs w:val="0"/>
          <w:i w:val="0"/>
          <w:iCs w:val="0"/>
          <w:caps w:val="0"/>
          <w:color w:val="auto"/>
          <w:szCs w:val="24"/>
          <w:highlight w:val="none"/>
        </w:rPr>
        <w:fldChar w:fldCharType="end"/>
      </w:r>
    </w:p>
    <w:p w14:paraId="3C36CC6D">
      <w:pPr>
        <w:pStyle w:val="33"/>
        <w:tabs>
          <w:tab w:val="right" w:leader="dot" w:pos="9583"/>
        </w:tabs>
      </w:pPr>
      <w:r>
        <w:rPr>
          <w:rFonts w:hint="eastAsia" w:ascii="宋体" w:hAnsi="宋体" w:cs="宋体"/>
          <w:bCs/>
          <w:i w:val="0"/>
          <w:iCs w:val="0"/>
          <w:caps/>
          <w:color w:val="auto"/>
          <w:szCs w:val="24"/>
          <w:highlight w:val="none"/>
        </w:rPr>
        <w:fldChar w:fldCharType="begin"/>
      </w:r>
      <w:r>
        <w:rPr>
          <w:rFonts w:hint="eastAsia" w:ascii="宋体" w:hAnsi="宋体" w:cs="宋体"/>
          <w:bCs/>
          <w:i w:val="0"/>
          <w:iCs w:val="0"/>
          <w:caps/>
          <w:szCs w:val="24"/>
          <w:highlight w:val="none"/>
        </w:rPr>
        <w:instrText xml:space="preserve"> HYPERLINK \l _Toc31 </w:instrText>
      </w:r>
      <w:r>
        <w:rPr>
          <w:rFonts w:hint="eastAsia" w:ascii="宋体" w:hAnsi="宋体" w:cs="宋体"/>
          <w:bCs/>
          <w:i w:val="0"/>
          <w:iCs w:val="0"/>
          <w:caps/>
          <w:szCs w:val="24"/>
          <w:highlight w:val="none"/>
        </w:rPr>
        <w:fldChar w:fldCharType="separate"/>
      </w:r>
      <w:r>
        <w:rPr>
          <w:rFonts w:hint="eastAsia" w:ascii="宋体" w:hAnsi="宋体" w:cs="宋体"/>
          <w:i w:val="0"/>
          <w:iCs w:val="0"/>
          <w:highlight w:val="none"/>
        </w:rPr>
        <w:t>第二章 投标人须知</w:t>
      </w:r>
      <w:r>
        <w:tab/>
      </w:r>
      <w:r>
        <w:fldChar w:fldCharType="begin"/>
      </w:r>
      <w:r>
        <w:instrText xml:space="preserve"> PAGEREF _Toc31 \h </w:instrText>
      </w:r>
      <w:r>
        <w:fldChar w:fldCharType="separate"/>
      </w:r>
      <w:r>
        <w:t>4</w:t>
      </w:r>
      <w:r>
        <w:fldChar w:fldCharType="end"/>
      </w:r>
      <w:r>
        <w:rPr>
          <w:rFonts w:hint="eastAsia" w:ascii="宋体" w:hAnsi="宋体" w:cs="宋体"/>
          <w:bCs/>
          <w:i w:val="0"/>
          <w:iCs w:val="0"/>
          <w:caps/>
          <w:color w:val="auto"/>
          <w:szCs w:val="24"/>
          <w:highlight w:val="none"/>
        </w:rPr>
        <w:fldChar w:fldCharType="end"/>
      </w:r>
    </w:p>
    <w:p w14:paraId="589FFED6">
      <w:pPr>
        <w:pStyle w:val="33"/>
        <w:tabs>
          <w:tab w:val="right" w:leader="dot" w:pos="9583"/>
        </w:tabs>
      </w:pPr>
      <w:r>
        <w:rPr>
          <w:rFonts w:hint="eastAsia" w:ascii="宋体" w:hAnsi="宋体" w:cs="宋体"/>
          <w:bCs/>
          <w:i w:val="0"/>
          <w:iCs w:val="0"/>
          <w:caps/>
          <w:color w:val="auto"/>
          <w:szCs w:val="24"/>
          <w:highlight w:val="none"/>
        </w:rPr>
        <w:fldChar w:fldCharType="begin"/>
      </w:r>
      <w:r>
        <w:rPr>
          <w:rFonts w:hint="eastAsia" w:ascii="宋体" w:hAnsi="宋体" w:cs="宋体"/>
          <w:bCs/>
          <w:i w:val="0"/>
          <w:iCs w:val="0"/>
          <w:caps/>
          <w:szCs w:val="24"/>
          <w:highlight w:val="none"/>
        </w:rPr>
        <w:instrText xml:space="preserve"> HYPERLINK \l _Toc18517 </w:instrText>
      </w:r>
      <w:r>
        <w:rPr>
          <w:rFonts w:hint="eastAsia" w:ascii="宋体" w:hAnsi="宋体" w:cs="宋体"/>
          <w:bCs/>
          <w:i w:val="0"/>
          <w:iCs w:val="0"/>
          <w:caps/>
          <w:szCs w:val="24"/>
          <w:highlight w:val="none"/>
        </w:rPr>
        <w:fldChar w:fldCharType="separate"/>
      </w:r>
      <w:r>
        <w:rPr>
          <w:rFonts w:hint="eastAsia" w:ascii="宋体" w:hAnsi="宋体" w:cs="宋体"/>
          <w:i w:val="0"/>
          <w:iCs w:val="0"/>
          <w:highlight w:val="none"/>
        </w:rPr>
        <w:t>第三章 评标方法（综合评分法）</w:t>
      </w:r>
      <w:r>
        <w:tab/>
      </w:r>
      <w:r>
        <w:fldChar w:fldCharType="begin"/>
      </w:r>
      <w:r>
        <w:instrText xml:space="preserve"> PAGEREF _Toc18517 \h </w:instrText>
      </w:r>
      <w:r>
        <w:fldChar w:fldCharType="separate"/>
      </w:r>
      <w:r>
        <w:t>19</w:t>
      </w:r>
      <w:r>
        <w:fldChar w:fldCharType="end"/>
      </w:r>
      <w:r>
        <w:rPr>
          <w:rFonts w:hint="eastAsia" w:ascii="宋体" w:hAnsi="宋体" w:cs="宋体"/>
          <w:bCs/>
          <w:i w:val="0"/>
          <w:iCs w:val="0"/>
          <w:caps/>
          <w:color w:val="auto"/>
          <w:szCs w:val="24"/>
          <w:highlight w:val="none"/>
        </w:rPr>
        <w:fldChar w:fldCharType="end"/>
      </w:r>
    </w:p>
    <w:p w14:paraId="66BD39CF">
      <w:pPr>
        <w:pStyle w:val="33"/>
        <w:tabs>
          <w:tab w:val="right" w:leader="dot" w:pos="9583"/>
        </w:tabs>
      </w:pPr>
      <w:r>
        <w:rPr>
          <w:rFonts w:hint="eastAsia" w:ascii="宋体" w:hAnsi="宋体" w:cs="宋体"/>
          <w:bCs/>
          <w:i w:val="0"/>
          <w:iCs w:val="0"/>
          <w:caps/>
          <w:color w:val="auto"/>
          <w:szCs w:val="24"/>
          <w:highlight w:val="none"/>
        </w:rPr>
        <w:fldChar w:fldCharType="begin"/>
      </w:r>
      <w:r>
        <w:rPr>
          <w:rFonts w:hint="eastAsia" w:ascii="宋体" w:hAnsi="宋体" w:cs="宋体"/>
          <w:bCs/>
          <w:i w:val="0"/>
          <w:iCs w:val="0"/>
          <w:caps/>
          <w:szCs w:val="24"/>
          <w:highlight w:val="none"/>
        </w:rPr>
        <w:instrText xml:space="preserve"> HYPERLINK \l _Toc16532 </w:instrText>
      </w:r>
      <w:r>
        <w:rPr>
          <w:rFonts w:hint="eastAsia" w:ascii="宋体" w:hAnsi="宋体" w:cs="宋体"/>
          <w:bCs/>
          <w:i w:val="0"/>
          <w:iCs w:val="0"/>
          <w:caps/>
          <w:szCs w:val="24"/>
          <w:highlight w:val="none"/>
        </w:rPr>
        <w:fldChar w:fldCharType="separate"/>
      </w:r>
      <w:r>
        <w:rPr>
          <w:rFonts w:hint="eastAsia"/>
        </w:rPr>
        <w:t xml:space="preserve">第四章 </w:t>
      </w:r>
      <w:r>
        <w:rPr>
          <w:rFonts w:hint="eastAsia" w:ascii="宋体" w:hAnsi="宋体" w:cs="宋体"/>
          <w:i w:val="0"/>
          <w:iCs w:val="0"/>
          <w:highlight w:val="none"/>
        </w:rPr>
        <w:t>合同条款及格式</w:t>
      </w:r>
      <w:r>
        <w:tab/>
      </w:r>
      <w:r>
        <w:fldChar w:fldCharType="begin"/>
      </w:r>
      <w:r>
        <w:instrText xml:space="preserve"> PAGEREF _Toc16532 \h </w:instrText>
      </w:r>
      <w:r>
        <w:fldChar w:fldCharType="separate"/>
      </w:r>
      <w:r>
        <w:t>29</w:t>
      </w:r>
      <w:r>
        <w:fldChar w:fldCharType="end"/>
      </w:r>
      <w:r>
        <w:rPr>
          <w:rFonts w:hint="eastAsia" w:ascii="宋体" w:hAnsi="宋体" w:cs="宋体"/>
          <w:bCs/>
          <w:i w:val="0"/>
          <w:iCs w:val="0"/>
          <w:caps/>
          <w:color w:val="auto"/>
          <w:szCs w:val="24"/>
          <w:highlight w:val="none"/>
        </w:rPr>
        <w:fldChar w:fldCharType="end"/>
      </w:r>
    </w:p>
    <w:p w14:paraId="18D95314">
      <w:pPr>
        <w:pStyle w:val="33"/>
        <w:tabs>
          <w:tab w:val="right" w:leader="dot" w:pos="9583"/>
        </w:tabs>
      </w:pPr>
      <w:r>
        <w:rPr>
          <w:rFonts w:hint="eastAsia" w:ascii="宋体" w:hAnsi="宋体" w:cs="宋体"/>
          <w:bCs/>
          <w:i w:val="0"/>
          <w:iCs w:val="0"/>
          <w:caps/>
          <w:color w:val="auto"/>
          <w:szCs w:val="24"/>
          <w:highlight w:val="none"/>
        </w:rPr>
        <w:fldChar w:fldCharType="begin"/>
      </w:r>
      <w:r>
        <w:rPr>
          <w:rFonts w:hint="eastAsia" w:ascii="宋体" w:hAnsi="宋体" w:cs="宋体"/>
          <w:bCs/>
          <w:i w:val="0"/>
          <w:iCs w:val="0"/>
          <w:caps/>
          <w:szCs w:val="24"/>
          <w:highlight w:val="none"/>
        </w:rPr>
        <w:instrText xml:space="preserve"> HYPERLINK \l _Toc31970 </w:instrText>
      </w:r>
      <w:r>
        <w:rPr>
          <w:rFonts w:hint="eastAsia" w:ascii="宋体" w:hAnsi="宋体" w:cs="宋体"/>
          <w:bCs/>
          <w:i w:val="0"/>
          <w:iCs w:val="0"/>
          <w:caps/>
          <w:szCs w:val="24"/>
          <w:highlight w:val="none"/>
        </w:rPr>
        <w:fldChar w:fldCharType="separate"/>
      </w:r>
      <w:r>
        <w:rPr>
          <w:rFonts w:hint="eastAsia" w:ascii="宋体" w:hAnsi="宋体" w:cs="宋体"/>
          <w:i w:val="0"/>
          <w:iCs w:val="0"/>
          <w:lang w:eastAsia="zh-CN"/>
        </w:rPr>
        <w:t xml:space="preserve">第五章 </w:t>
      </w:r>
      <w:r>
        <w:rPr>
          <w:rFonts w:hint="eastAsia" w:ascii="宋体" w:hAnsi="宋体" w:cs="宋体"/>
          <w:i w:val="0"/>
          <w:iCs w:val="0"/>
          <w:highlight w:val="none"/>
          <w:lang w:eastAsia="zh-CN"/>
        </w:rPr>
        <w:t>采购内容及要求</w:t>
      </w:r>
      <w:r>
        <w:tab/>
      </w:r>
      <w:r>
        <w:fldChar w:fldCharType="begin"/>
      </w:r>
      <w:r>
        <w:instrText xml:space="preserve"> PAGEREF _Toc31970 \h </w:instrText>
      </w:r>
      <w:r>
        <w:fldChar w:fldCharType="separate"/>
      </w:r>
      <w:r>
        <w:t>35</w:t>
      </w:r>
      <w:r>
        <w:fldChar w:fldCharType="end"/>
      </w:r>
      <w:r>
        <w:rPr>
          <w:rFonts w:hint="eastAsia" w:ascii="宋体" w:hAnsi="宋体" w:cs="宋体"/>
          <w:bCs/>
          <w:i w:val="0"/>
          <w:iCs w:val="0"/>
          <w:caps/>
          <w:color w:val="auto"/>
          <w:szCs w:val="24"/>
          <w:highlight w:val="none"/>
        </w:rPr>
        <w:fldChar w:fldCharType="end"/>
      </w:r>
    </w:p>
    <w:p w14:paraId="14535C38">
      <w:pPr>
        <w:pStyle w:val="33"/>
        <w:tabs>
          <w:tab w:val="right" w:leader="dot" w:pos="9583"/>
        </w:tabs>
      </w:pPr>
      <w:r>
        <w:rPr>
          <w:rFonts w:hint="eastAsia" w:ascii="宋体" w:hAnsi="宋体" w:cs="宋体"/>
          <w:bCs/>
          <w:i w:val="0"/>
          <w:iCs w:val="0"/>
          <w:caps/>
          <w:color w:val="auto"/>
          <w:szCs w:val="24"/>
          <w:highlight w:val="none"/>
        </w:rPr>
        <w:fldChar w:fldCharType="begin"/>
      </w:r>
      <w:r>
        <w:rPr>
          <w:rFonts w:hint="eastAsia" w:ascii="宋体" w:hAnsi="宋体" w:cs="宋体"/>
          <w:bCs/>
          <w:i w:val="0"/>
          <w:iCs w:val="0"/>
          <w:caps/>
          <w:szCs w:val="24"/>
          <w:highlight w:val="none"/>
        </w:rPr>
        <w:instrText xml:space="preserve"> HYPERLINK \l _Toc20938 </w:instrText>
      </w:r>
      <w:r>
        <w:rPr>
          <w:rFonts w:hint="eastAsia" w:ascii="宋体" w:hAnsi="宋体" w:cs="宋体"/>
          <w:bCs/>
          <w:i w:val="0"/>
          <w:iCs w:val="0"/>
          <w:caps/>
          <w:szCs w:val="24"/>
          <w:highlight w:val="none"/>
        </w:rPr>
        <w:fldChar w:fldCharType="separate"/>
      </w:r>
      <w:r>
        <w:rPr>
          <w:rFonts w:hint="eastAsia" w:ascii="宋体" w:hAnsi="宋体" w:cs="宋体"/>
          <w:i w:val="0"/>
          <w:iCs w:val="0"/>
          <w:highlight w:val="none"/>
        </w:rPr>
        <w:t>第六章 投标文件格式</w:t>
      </w:r>
      <w:r>
        <w:tab/>
      </w:r>
      <w:r>
        <w:fldChar w:fldCharType="begin"/>
      </w:r>
      <w:r>
        <w:instrText xml:space="preserve"> PAGEREF _Toc20938 \h </w:instrText>
      </w:r>
      <w:r>
        <w:fldChar w:fldCharType="separate"/>
      </w:r>
      <w:r>
        <w:t>46</w:t>
      </w:r>
      <w:r>
        <w:fldChar w:fldCharType="end"/>
      </w:r>
      <w:r>
        <w:rPr>
          <w:rFonts w:hint="eastAsia" w:ascii="宋体" w:hAnsi="宋体" w:cs="宋体"/>
          <w:bCs/>
          <w:i w:val="0"/>
          <w:iCs w:val="0"/>
          <w:caps/>
          <w:color w:val="auto"/>
          <w:szCs w:val="24"/>
          <w:highlight w:val="none"/>
        </w:rPr>
        <w:fldChar w:fldCharType="end"/>
      </w:r>
    </w:p>
    <w:p w14:paraId="116363B1">
      <w:pPr>
        <w:spacing w:line="300" w:lineRule="exact"/>
        <w:rPr>
          <w:rFonts w:ascii="宋体" w:hAnsi="宋体" w:cs="宋体"/>
          <w:i w:val="0"/>
          <w:iCs w:val="0"/>
          <w:color w:val="auto"/>
          <w:highlight w:val="none"/>
        </w:rPr>
        <w:sectPr>
          <w:headerReference r:id="rId9" w:type="first"/>
          <w:footerReference r:id="rId11" w:type="first"/>
          <w:headerReference r:id="rId8" w:type="default"/>
          <w:footerReference r:id="rId10" w:type="default"/>
          <w:pgSz w:w="12191" w:h="15819"/>
          <w:pgMar w:top="1304" w:right="1304" w:bottom="1304" w:left="1304" w:header="737" w:footer="737" w:gutter="0"/>
          <w:pgNumType w:fmt="decimal"/>
          <w:cols w:space="720" w:num="1"/>
          <w:titlePg/>
          <w:docGrid w:linePitch="317" w:charSpace="0"/>
        </w:sectPr>
      </w:pPr>
      <w:r>
        <w:rPr>
          <w:rFonts w:hint="eastAsia" w:ascii="宋体" w:hAnsi="宋体" w:cs="宋体"/>
          <w:bCs/>
          <w:i w:val="0"/>
          <w:iCs w:val="0"/>
          <w:caps/>
          <w:color w:val="auto"/>
          <w:szCs w:val="24"/>
          <w:highlight w:val="none"/>
        </w:rPr>
        <w:fldChar w:fldCharType="end"/>
      </w:r>
      <w:bookmarkStart w:id="0" w:name="_Toc12916"/>
      <w:bookmarkEnd w:id="0"/>
      <w:bookmarkStart w:id="1" w:name="_Toc3039"/>
      <w:bookmarkEnd w:id="1"/>
      <w:bookmarkStart w:id="2" w:name="_Toc24776"/>
      <w:bookmarkStart w:id="3" w:name="_Toc5556"/>
    </w:p>
    <w:p w14:paraId="422FBAC6">
      <w:pPr>
        <w:pStyle w:val="7"/>
        <w:rPr>
          <w:rFonts w:ascii="宋体" w:hAnsi="宋体" w:cs="宋体"/>
          <w:i w:val="0"/>
          <w:iCs w:val="0"/>
          <w:color w:val="auto"/>
          <w:highlight w:val="none"/>
        </w:rPr>
      </w:pPr>
    </w:p>
    <w:p w14:paraId="1E7C9F6D">
      <w:pPr>
        <w:pStyle w:val="2"/>
        <w:bidi w:val="0"/>
        <w:jc w:val="center"/>
        <w:rPr>
          <w:rFonts w:hint="eastAsia"/>
        </w:rPr>
      </w:pPr>
      <w:bookmarkStart w:id="4" w:name="_Toc29957"/>
      <w:r>
        <w:rPr>
          <w:rFonts w:hint="eastAsia"/>
        </w:rPr>
        <w:t xml:space="preserve">第一章 </w:t>
      </w:r>
      <w:bookmarkEnd w:id="2"/>
      <w:bookmarkEnd w:id="3"/>
      <w:r>
        <w:rPr>
          <w:rFonts w:hint="eastAsia"/>
          <w:b/>
          <w:bCs/>
          <w:sz w:val="32"/>
          <w:szCs w:val="32"/>
          <w:lang w:eastAsia="zh-CN"/>
        </w:rPr>
        <w:t>招标公告</w:t>
      </w:r>
      <w:bookmarkEnd w:id="4"/>
    </w:p>
    <w:p w14:paraId="749ACF2D">
      <w:pPr>
        <w:bidi w:val="0"/>
        <w:jc w:val="center"/>
        <w:rPr>
          <w:rFonts w:hint="eastAsia"/>
          <w:b/>
          <w:bCs/>
          <w:sz w:val="32"/>
          <w:szCs w:val="32"/>
          <w:lang w:eastAsia="zh-CN"/>
        </w:rPr>
      </w:pPr>
      <w:r>
        <w:rPr>
          <w:rFonts w:hint="eastAsia"/>
          <w:b/>
          <w:bCs/>
          <w:sz w:val="32"/>
          <w:szCs w:val="32"/>
          <w:lang w:eastAsia="zh-CN"/>
        </w:rPr>
        <w:t>红河州第二人民医院胃镜室清洗消毒工作站配套设备</w:t>
      </w:r>
    </w:p>
    <w:p w14:paraId="1FC3F5D0">
      <w:pPr>
        <w:bidi w:val="0"/>
        <w:jc w:val="center"/>
        <w:rPr>
          <w:b/>
          <w:bCs/>
          <w:sz w:val="32"/>
          <w:szCs w:val="32"/>
        </w:rPr>
      </w:pPr>
      <w:r>
        <w:rPr>
          <w:rFonts w:hint="eastAsia"/>
          <w:b/>
          <w:bCs/>
          <w:sz w:val="32"/>
          <w:szCs w:val="32"/>
          <w:lang w:eastAsia="zh-CN"/>
        </w:rPr>
        <w:t>招标公告</w:t>
      </w:r>
    </w:p>
    <w:p w14:paraId="38CD3ED4">
      <w:pPr>
        <w:bidi w:val="0"/>
        <w:rPr>
          <w:b/>
          <w:bCs/>
        </w:rPr>
      </w:pPr>
      <w:bookmarkStart w:id="5" w:name="_Toc29108"/>
      <w:bookmarkEnd w:id="5"/>
      <w:bookmarkStart w:id="6" w:name="_Toc32031"/>
      <w:bookmarkEnd w:id="6"/>
      <w:bookmarkStart w:id="7" w:name="_Toc13263"/>
      <w:bookmarkStart w:id="8" w:name="_Toc12997"/>
      <w:bookmarkStart w:id="9" w:name="_Toc16472"/>
      <w:bookmarkStart w:id="10" w:name="_Toc1859"/>
      <w:r>
        <w:rPr>
          <w:rFonts w:hint="eastAsia" w:asciiTheme="minorEastAsia" w:hAnsiTheme="minorEastAsia" w:eastAsiaTheme="minorEastAsia" w:cstheme="minorEastAsia"/>
          <w:b/>
          <w:bCs/>
          <w:sz w:val="28"/>
          <w:szCs w:val="28"/>
        </w:rPr>
        <w:t>1.</w:t>
      </w:r>
      <w:r>
        <w:rPr>
          <w:rFonts w:hint="eastAsia" w:asciiTheme="minorEastAsia" w:hAnsiTheme="minorEastAsia" w:eastAsiaTheme="minorEastAsia" w:cstheme="minorEastAsia"/>
          <w:b/>
          <w:bCs/>
          <w:sz w:val="28"/>
          <w:szCs w:val="28"/>
          <w:lang w:eastAsia="zh-CN"/>
        </w:rPr>
        <w:t>招标</w:t>
      </w:r>
      <w:r>
        <w:rPr>
          <w:rFonts w:hint="eastAsia" w:asciiTheme="minorEastAsia" w:hAnsiTheme="minorEastAsia" w:eastAsiaTheme="minorEastAsia" w:cstheme="minorEastAsia"/>
          <w:b/>
          <w:bCs/>
          <w:sz w:val="28"/>
          <w:szCs w:val="28"/>
        </w:rPr>
        <w:t>条件</w:t>
      </w:r>
      <w:bookmarkEnd w:id="7"/>
      <w:bookmarkEnd w:id="8"/>
      <w:bookmarkEnd w:id="9"/>
      <w:bookmarkEnd w:id="10"/>
    </w:p>
    <w:p w14:paraId="3FB7FD2E">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lang w:eastAsia="zh-CN"/>
        </w:rPr>
        <w:t>根据《国家机关事业单位内部控制规范》、《公立医院内部控制管理办法》等法律法规，红河州第二人民医院</w:t>
      </w:r>
      <w:r>
        <w:rPr>
          <w:rFonts w:hint="eastAsia" w:ascii="宋体" w:hAnsi="宋体" w:cs="宋体"/>
          <w:i w:val="0"/>
          <w:iCs w:val="0"/>
          <w:color w:val="auto"/>
          <w:sz w:val="24"/>
          <w:szCs w:val="24"/>
          <w:highlight w:val="none"/>
        </w:rPr>
        <w:t>对该项目进行公开</w:t>
      </w:r>
      <w:r>
        <w:rPr>
          <w:rFonts w:hint="eastAsia" w:ascii="宋体" w:hAnsi="宋体" w:cs="宋体"/>
          <w:i w:val="0"/>
          <w:iCs w:val="0"/>
          <w:color w:val="auto"/>
          <w:sz w:val="24"/>
          <w:szCs w:val="24"/>
          <w:highlight w:val="none"/>
          <w:lang w:eastAsia="zh-CN"/>
        </w:rPr>
        <w:t>招标</w:t>
      </w:r>
      <w:r>
        <w:rPr>
          <w:rFonts w:hint="eastAsia" w:ascii="宋体" w:hAnsi="宋体" w:cs="宋体"/>
          <w:i w:val="0"/>
          <w:iCs w:val="0"/>
          <w:color w:val="auto"/>
          <w:sz w:val="24"/>
          <w:szCs w:val="24"/>
          <w:highlight w:val="none"/>
        </w:rPr>
        <w:t>，竭诚欢迎具有完成该项目能力的潜在</w:t>
      </w:r>
      <w:r>
        <w:rPr>
          <w:rFonts w:hint="eastAsia" w:ascii="宋体" w:hAnsi="宋体" w:cs="宋体"/>
          <w:i w:val="0"/>
          <w:iCs w:val="0"/>
          <w:color w:val="auto"/>
          <w:sz w:val="24"/>
          <w:szCs w:val="24"/>
          <w:highlight w:val="none"/>
          <w:lang w:eastAsia="zh-CN"/>
        </w:rPr>
        <w:t>供应商</w:t>
      </w:r>
      <w:r>
        <w:rPr>
          <w:rFonts w:hint="eastAsia" w:ascii="宋体" w:hAnsi="宋体" w:cs="宋体"/>
          <w:i w:val="0"/>
          <w:iCs w:val="0"/>
          <w:color w:val="auto"/>
          <w:sz w:val="24"/>
          <w:szCs w:val="24"/>
          <w:highlight w:val="none"/>
        </w:rPr>
        <w:t>参加</w:t>
      </w:r>
      <w:r>
        <w:rPr>
          <w:rFonts w:hint="eastAsia" w:ascii="宋体" w:hAnsi="宋体" w:cs="宋体"/>
          <w:i w:val="0"/>
          <w:iCs w:val="0"/>
          <w:color w:val="auto"/>
          <w:sz w:val="24"/>
          <w:szCs w:val="24"/>
          <w:highlight w:val="none"/>
          <w:lang w:eastAsia="zh-CN"/>
        </w:rPr>
        <w:t>竞标</w:t>
      </w:r>
      <w:r>
        <w:rPr>
          <w:rFonts w:hint="eastAsia" w:ascii="宋体" w:hAnsi="宋体" w:cs="宋体"/>
          <w:i w:val="0"/>
          <w:iCs w:val="0"/>
          <w:color w:val="auto"/>
          <w:sz w:val="24"/>
          <w:szCs w:val="24"/>
          <w:highlight w:val="none"/>
        </w:rPr>
        <w:t>。</w:t>
      </w:r>
    </w:p>
    <w:p w14:paraId="0B4D30B1">
      <w:pPr>
        <w:bidi w:val="0"/>
        <w:rPr>
          <w:rFonts w:hint="eastAsia" w:asciiTheme="minorEastAsia" w:hAnsiTheme="minorEastAsia" w:eastAsiaTheme="minorEastAsia" w:cstheme="minorEastAsia"/>
          <w:b/>
          <w:bCs/>
          <w:sz w:val="28"/>
          <w:szCs w:val="28"/>
        </w:rPr>
      </w:pPr>
      <w:bookmarkStart w:id="11" w:name="_Toc31983"/>
      <w:bookmarkStart w:id="12" w:name="_Toc31359"/>
      <w:bookmarkStart w:id="13" w:name="_Toc28119"/>
      <w:r>
        <w:rPr>
          <w:rFonts w:hint="eastAsia" w:asciiTheme="minorEastAsia" w:hAnsiTheme="minorEastAsia" w:eastAsiaTheme="minorEastAsia" w:cstheme="minorEastAsia"/>
          <w:b/>
          <w:bCs/>
          <w:sz w:val="28"/>
          <w:szCs w:val="28"/>
        </w:rPr>
        <w:t>2.</w:t>
      </w:r>
      <w:bookmarkEnd w:id="11"/>
      <w:r>
        <w:rPr>
          <w:rFonts w:hint="eastAsia" w:asciiTheme="minorEastAsia" w:hAnsiTheme="minorEastAsia" w:eastAsiaTheme="minorEastAsia" w:cstheme="minorEastAsia"/>
          <w:b/>
          <w:bCs/>
          <w:sz w:val="28"/>
          <w:szCs w:val="28"/>
        </w:rPr>
        <w:t>项目概况</w:t>
      </w:r>
      <w:bookmarkEnd w:id="12"/>
      <w:bookmarkEnd w:id="13"/>
    </w:p>
    <w:p w14:paraId="05AA70C3">
      <w:pPr>
        <w:pStyle w:val="7"/>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2.1项目名称：</w:t>
      </w:r>
      <w:r>
        <w:rPr>
          <w:rFonts w:hint="eastAsia" w:ascii="宋体" w:hAnsi="宋体" w:cs="宋体"/>
          <w:i w:val="0"/>
          <w:iCs w:val="0"/>
          <w:color w:val="auto"/>
          <w:sz w:val="24"/>
          <w:highlight w:val="none"/>
          <w:lang w:eastAsia="zh-CN"/>
        </w:rPr>
        <w:t>红河州第二人民医院胃镜室清洗消毒工作站配套设备采购项目</w:t>
      </w:r>
    </w:p>
    <w:p w14:paraId="546CC60A">
      <w:pPr>
        <w:pStyle w:val="7"/>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2.2项目预算金额</w:t>
      </w:r>
      <w:r>
        <w:rPr>
          <w:rFonts w:hint="eastAsia" w:ascii="宋体" w:hAnsi="宋体" w:cs="宋体"/>
          <w:i w:val="0"/>
          <w:iCs w:val="0"/>
          <w:color w:val="000000" w:themeColor="text1"/>
          <w:sz w:val="24"/>
          <w:highlight w:val="none"/>
          <w:lang w:val="en-US" w:eastAsia="zh-CN"/>
          <w14:textFill>
            <w14:solidFill>
              <w14:schemeClr w14:val="tx1"/>
            </w14:solidFill>
          </w14:textFill>
        </w:rPr>
        <w:t>(最高限价)</w:t>
      </w:r>
      <w:r>
        <w:rPr>
          <w:rFonts w:hint="eastAsia" w:ascii="宋体" w:hAnsi="宋体" w:cs="宋体"/>
          <w:i w:val="0"/>
          <w:iCs w:val="0"/>
          <w:color w:val="000000" w:themeColor="text1"/>
          <w:sz w:val="24"/>
          <w:highlight w:val="none"/>
          <w14:textFill>
            <w14:solidFill>
              <w14:schemeClr w14:val="tx1"/>
            </w14:solidFill>
          </w14:textFill>
        </w:rPr>
        <w:t>：</w:t>
      </w:r>
      <w:r>
        <w:rPr>
          <w:rFonts w:hint="eastAsia" w:ascii="宋体" w:hAnsi="宋体" w:cs="宋体"/>
          <w:i w:val="0"/>
          <w:iCs w:val="0"/>
          <w:color w:val="000000" w:themeColor="text1"/>
          <w:sz w:val="24"/>
          <w:highlight w:val="none"/>
          <w:lang w:val="en-US" w:eastAsia="zh-CN"/>
          <w14:textFill>
            <w14:solidFill>
              <w14:schemeClr w14:val="tx1"/>
            </w14:solidFill>
          </w14:textFill>
        </w:rPr>
        <w:t>400000.00</w:t>
      </w:r>
      <w:r>
        <w:rPr>
          <w:rFonts w:hint="eastAsia" w:ascii="宋体" w:hAnsi="宋体" w:cs="宋体"/>
          <w:i w:val="0"/>
          <w:iCs w:val="0"/>
          <w:color w:val="000000" w:themeColor="text1"/>
          <w:sz w:val="24"/>
          <w:highlight w:val="none"/>
          <w:lang w:eastAsia="zh-CN"/>
          <w14:textFill>
            <w14:solidFill>
              <w14:schemeClr w14:val="tx1"/>
            </w14:solidFill>
          </w14:textFill>
        </w:rPr>
        <w:t>元。</w:t>
      </w:r>
    </w:p>
    <w:p w14:paraId="27115F1A">
      <w:pPr>
        <w:pStyle w:val="7"/>
        <w:ind w:firstLine="480" w:firstLineChars="200"/>
        <w:rPr>
          <w:rFonts w:hint="eastAsia" w:ascii="宋体" w:hAnsi="宋体" w:eastAsia="宋体" w:cs="宋体"/>
          <w:i w:val="0"/>
          <w:iCs w:val="0"/>
          <w:color w:val="auto"/>
          <w:sz w:val="24"/>
          <w:highlight w:val="none"/>
          <w:lang w:eastAsia="zh-CN"/>
        </w:rPr>
      </w:pPr>
      <w:bookmarkStart w:id="14" w:name="_Toc16942"/>
      <w:bookmarkEnd w:id="14"/>
      <w:bookmarkStart w:id="15" w:name="_Toc14391"/>
      <w:bookmarkEnd w:id="15"/>
      <w:bookmarkStart w:id="16" w:name="_Toc11923"/>
      <w:bookmarkStart w:id="17" w:name="_Toc17585"/>
      <w:r>
        <w:rPr>
          <w:rFonts w:hint="eastAsia" w:ascii="宋体" w:hAnsi="宋体" w:cs="宋体"/>
          <w:i w:val="0"/>
          <w:iCs w:val="0"/>
          <w:color w:val="auto"/>
          <w:sz w:val="24"/>
          <w:highlight w:val="none"/>
        </w:rPr>
        <w:t>2.3</w:t>
      </w:r>
      <w:r>
        <w:rPr>
          <w:rFonts w:hint="eastAsia" w:ascii="宋体" w:hAnsi="宋体" w:cs="宋体"/>
          <w:i w:val="0"/>
          <w:iCs w:val="0"/>
          <w:color w:val="auto"/>
          <w:sz w:val="24"/>
          <w:highlight w:val="none"/>
          <w:lang w:val="en-US" w:eastAsia="zh-CN"/>
        </w:rPr>
        <w:t>交货地点</w:t>
      </w:r>
      <w:r>
        <w:rPr>
          <w:rFonts w:hint="eastAsia" w:ascii="宋体" w:hAnsi="宋体" w:cs="宋体"/>
          <w:i w:val="0"/>
          <w:iCs w:val="0"/>
          <w:color w:val="auto"/>
          <w:sz w:val="24"/>
          <w:highlight w:val="none"/>
        </w:rPr>
        <w:t>：</w:t>
      </w:r>
      <w:r>
        <w:rPr>
          <w:rFonts w:hint="eastAsia" w:ascii="宋体" w:hAnsi="宋体" w:cs="宋体"/>
          <w:i w:val="0"/>
          <w:iCs w:val="0"/>
          <w:color w:val="auto"/>
          <w:sz w:val="24"/>
          <w:highlight w:val="none"/>
          <w:lang w:eastAsia="zh-CN"/>
        </w:rPr>
        <w:t>云南</w:t>
      </w:r>
      <w:r>
        <w:rPr>
          <w:rFonts w:hint="eastAsia" w:ascii="宋体" w:hAnsi="宋体" w:cs="宋体"/>
          <w:i w:val="0"/>
          <w:iCs w:val="0"/>
          <w:color w:val="auto"/>
          <w:sz w:val="24"/>
          <w:highlight w:val="none"/>
          <w:lang w:val="en-US" w:eastAsia="zh-CN"/>
        </w:rPr>
        <w:t>省红河州第二人民医院（建水县泽园路28号）指定地点。</w:t>
      </w:r>
    </w:p>
    <w:p w14:paraId="05DF43AC">
      <w:pPr>
        <w:pStyle w:val="7"/>
        <w:ind w:firstLine="480" w:firstLineChars="200"/>
        <w:rPr>
          <w:rFonts w:hint="eastAsia" w:ascii="宋体" w:hAnsi="宋体" w:cs="宋体"/>
          <w:i w:val="0"/>
          <w:iCs w:val="0"/>
          <w:color w:val="auto"/>
          <w:sz w:val="24"/>
          <w:highlight w:val="none"/>
        </w:rPr>
      </w:pPr>
      <w:r>
        <w:rPr>
          <w:rFonts w:hint="eastAsia" w:ascii="宋体" w:hAnsi="宋体" w:cs="宋体"/>
          <w:i w:val="0"/>
          <w:iCs w:val="0"/>
          <w:color w:val="auto"/>
          <w:sz w:val="24"/>
          <w:highlight w:val="none"/>
        </w:rPr>
        <w:t>2.4</w:t>
      </w:r>
      <w:r>
        <w:rPr>
          <w:rFonts w:hint="eastAsia" w:ascii="宋体" w:hAnsi="宋体" w:cs="宋体"/>
          <w:i w:val="0"/>
          <w:iCs w:val="0"/>
          <w:color w:val="auto"/>
          <w:sz w:val="24"/>
          <w:highlight w:val="none"/>
          <w:lang w:eastAsia="zh-CN"/>
        </w:rPr>
        <w:t>采购内容</w:t>
      </w:r>
      <w:r>
        <w:rPr>
          <w:rFonts w:hint="eastAsia" w:ascii="宋体" w:hAnsi="宋体" w:cs="宋体"/>
          <w:i w:val="0"/>
          <w:iCs w:val="0"/>
          <w:color w:val="auto"/>
          <w:sz w:val="24"/>
          <w:highlight w:val="none"/>
        </w:rPr>
        <w:t>：</w:t>
      </w:r>
      <w:r>
        <w:rPr>
          <w:rFonts w:hint="eastAsia" w:ascii="宋体" w:hAnsi="宋体" w:cs="宋体"/>
          <w:i w:val="0"/>
          <w:iCs w:val="0"/>
          <w:color w:val="auto"/>
          <w:sz w:val="24"/>
          <w:highlight w:val="none"/>
          <w:lang w:val="en-US" w:eastAsia="zh-CN"/>
        </w:rPr>
        <w:t>采购</w:t>
      </w:r>
      <w:r>
        <w:rPr>
          <w:rFonts w:hint="eastAsia" w:ascii="宋体" w:hAnsi="宋体" w:cs="宋体"/>
          <w:i w:val="0"/>
          <w:iCs w:val="0"/>
          <w:color w:val="auto"/>
          <w:sz w:val="24"/>
          <w:highlight w:val="none"/>
          <w:lang w:eastAsia="zh-CN"/>
        </w:rPr>
        <w:t>胃镜室清洗消毒工作站配套设备</w:t>
      </w:r>
      <w:r>
        <w:rPr>
          <w:rFonts w:hint="eastAsia" w:ascii="宋体" w:hAnsi="宋体" w:cs="宋体"/>
          <w:i w:val="0"/>
          <w:iCs w:val="0"/>
          <w:color w:val="auto"/>
          <w:sz w:val="24"/>
          <w:highlight w:val="none"/>
          <w:lang w:val="en-US" w:eastAsia="zh-CN"/>
        </w:rPr>
        <w:t>1套（详见</w:t>
      </w:r>
      <w:r>
        <w:rPr>
          <w:rFonts w:hint="eastAsia" w:ascii="宋体" w:hAnsi="宋体" w:cs="宋体"/>
          <w:i w:val="0"/>
          <w:iCs w:val="0"/>
          <w:lang w:eastAsia="zh-CN"/>
        </w:rPr>
        <w:t xml:space="preserve">第五章 </w:t>
      </w:r>
      <w:r>
        <w:rPr>
          <w:rFonts w:hint="eastAsia" w:ascii="宋体" w:hAnsi="宋体" w:cs="宋体"/>
          <w:i w:val="0"/>
          <w:iCs w:val="0"/>
          <w:highlight w:val="none"/>
          <w:lang w:eastAsia="zh-CN"/>
        </w:rPr>
        <w:t>采购内容及要求</w:t>
      </w:r>
      <w:r>
        <w:rPr>
          <w:rFonts w:hint="eastAsia" w:ascii="宋体" w:hAnsi="宋体" w:cs="宋体"/>
          <w:i w:val="0"/>
          <w:iCs w:val="0"/>
          <w:color w:val="auto"/>
          <w:sz w:val="24"/>
          <w:highlight w:val="none"/>
          <w:lang w:val="en-US" w:eastAsia="zh-CN"/>
        </w:rPr>
        <w:t>）</w:t>
      </w:r>
      <w:r>
        <w:rPr>
          <w:rFonts w:hint="eastAsia" w:ascii="宋体" w:hAnsi="宋体" w:cs="宋体"/>
          <w:i w:val="0"/>
          <w:iCs w:val="0"/>
          <w:color w:val="auto"/>
          <w:sz w:val="24"/>
          <w:highlight w:val="none"/>
        </w:rPr>
        <w:t>。</w:t>
      </w:r>
    </w:p>
    <w:p w14:paraId="076273DC">
      <w:pPr>
        <w:spacing w:line="360" w:lineRule="auto"/>
        <w:ind w:firstLine="500"/>
        <w:rPr>
          <w:rFonts w:ascii="宋体" w:hAnsi="宋体" w:cs="宋体"/>
          <w:i w:val="0"/>
          <w:iCs w:val="0"/>
          <w:color w:val="auto"/>
          <w:sz w:val="24"/>
          <w:szCs w:val="24"/>
          <w:highlight w:val="none"/>
        </w:rPr>
      </w:pPr>
      <w:r>
        <w:rPr>
          <w:rFonts w:hint="eastAsia" w:ascii="宋体" w:hAnsi="宋体" w:cs="宋体"/>
          <w:i w:val="0"/>
          <w:iCs w:val="0"/>
          <w:color w:val="auto"/>
          <w:sz w:val="24"/>
          <w:highlight w:val="none"/>
        </w:rPr>
        <w:t>2.</w:t>
      </w:r>
      <w:r>
        <w:rPr>
          <w:rFonts w:hint="eastAsia" w:ascii="宋体" w:hAnsi="宋体" w:cs="宋体"/>
          <w:i w:val="0"/>
          <w:iCs w:val="0"/>
          <w:color w:val="auto"/>
          <w:sz w:val="24"/>
          <w:highlight w:val="none"/>
          <w:lang w:val="en-US" w:eastAsia="zh-CN"/>
        </w:rPr>
        <w:t>5</w:t>
      </w:r>
      <w:r>
        <w:rPr>
          <w:rFonts w:hint="eastAsia" w:ascii="宋体" w:hAnsi="宋体" w:cs="宋体"/>
          <w:i w:val="0"/>
          <w:iCs w:val="0"/>
          <w:color w:val="auto"/>
          <w:sz w:val="24"/>
          <w:highlight w:val="none"/>
          <w:lang w:eastAsia="zh-CN"/>
        </w:rPr>
        <w:t>交货期</w:t>
      </w:r>
      <w:r>
        <w:rPr>
          <w:rFonts w:hint="eastAsia" w:ascii="宋体" w:hAnsi="宋体" w:cs="宋体"/>
          <w:i w:val="0"/>
          <w:iCs w:val="0"/>
          <w:color w:val="auto"/>
          <w:sz w:val="24"/>
          <w:highlight w:val="none"/>
        </w:rPr>
        <w:t>：</w:t>
      </w:r>
      <w:r>
        <w:rPr>
          <w:rFonts w:hint="eastAsia" w:ascii="宋体" w:hAnsi="宋体" w:cs="宋体"/>
          <w:i w:val="0"/>
          <w:iCs w:val="0"/>
          <w:color w:val="auto"/>
          <w:sz w:val="24"/>
          <w:szCs w:val="24"/>
          <w:highlight w:val="none"/>
          <w:lang w:eastAsia="zh-CN"/>
        </w:rPr>
        <w:t>30日历天</w:t>
      </w:r>
      <w:r>
        <w:rPr>
          <w:rFonts w:hint="eastAsia" w:ascii="宋体" w:hAnsi="宋体" w:cs="宋体"/>
          <w:i w:val="0"/>
          <w:iCs w:val="0"/>
          <w:color w:val="auto"/>
          <w:sz w:val="24"/>
          <w:szCs w:val="24"/>
          <w:highlight w:val="none"/>
        </w:rPr>
        <w:t>。</w:t>
      </w:r>
    </w:p>
    <w:p w14:paraId="0D422559">
      <w:pPr>
        <w:pStyle w:val="7"/>
        <w:ind w:firstLine="480" w:firstLineChars="200"/>
        <w:rPr>
          <w:rFonts w:hint="eastAsia" w:ascii="宋体" w:hAnsi="宋体" w:cs="宋体"/>
          <w:i w:val="0"/>
          <w:iCs w:val="0"/>
          <w:color w:val="auto"/>
          <w:sz w:val="24"/>
          <w:highlight w:val="none"/>
        </w:rPr>
      </w:pPr>
      <w:r>
        <w:rPr>
          <w:rFonts w:hint="eastAsia" w:ascii="宋体" w:hAnsi="宋体" w:cs="宋体"/>
          <w:i w:val="0"/>
          <w:iCs w:val="0"/>
          <w:color w:val="auto"/>
          <w:sz w:val="24"/>
          <w:highlight w:val="none"/>
        </w:rPr>
        <w:t>2.</w:t>
      </w:r>
      <w:r>
        <w:rPr>
          <w:rFonts w:hint="eastAsia" w:ascii="宋体" w:hAnsi="宋体" w:cs="宋体"/>
          <w:i w:val="0"/>
          <w:iCs w:val="0"/>
          <w:color w:val="auto"/>
          <w:sz w:val="24"/>
          <w:highlight w:val="none"/>
          <w:lang w:val="en-US" w:eastAsia="zh-CN"/>
        </w:rPr>
        <w:t>6</w:t>
      </w:r>
      <w:r>
        <w:rPr>
          <w:rFonts w:hint="eastAsia" w:ascii="宋体" w:hAnsi="宋体" w:cs="宋体"/>
          <w:i w:val="0"/>
          <w:iCs w:val="0"/>
          <w:color w:val="auto"/>
          <w:sz w:val="24"/>
          <w:highlight w:val="none"/>
        </w:rPr>
        <w:t>资格审查方式：资格后审。</w:t>
      </w:r>
    </w:p>
    <w:bookmarkEnd w:id="16"/>
    <w:bookmarkEnd w:id="17"/>
    <w:p w14:paraId="2B516328">
      <w:pPr>
        <w:bidi w:val="0"/>
        <w:rPr>
          <w:rFonts w:hint="eastAsia" w:asciiTheme="minorEastAsia" w:hAnsiTheme="minorEastAsia" w:eastAsiaTheme="minorEastAsia" w:cstheme="minorEastAsia"/>
          <w:b/>
          <w:bCs/>
          <w:sz w:val="28"/>
          <w:szCs w:val="28"/>
        </w:rPr>
      </w:pPr>
      <w:bookmarkStart w:id="18" w:name="_Toc19613"/>
      <w:bookmarkStart w:id="19" w:name="_Toc24772"/>
      <w:bookmarkStart w:id="20" w:name="_Toc1744"/>
      <w:bookmarkStart w:id="21" w:name="_Toc6728"/>
      <w:r>
        <w:rPr>
          <w:rFonts w:hint="eastAsia" w:asciiTheme="minorEastAsia" w:hAnsiTheme="minorEastAsia" w:eastAsiaTheme="minorEastAsia" w:cstheme="minorEastAsia"/>
          <w:b/>
          <w:bCs/>
          <w:sz w:val="28"/>
          <w:szCs w:val="28"/>
        </w:rPr>
        <w:t>3.投标人资格</w:t>
      </w:r>
      <w:bookmarkEnd w:id="18"/>
      <w:bookmarkEnd w:id="19"/>
      <w:r>
        <w:rPr>
          <w:rFonts w:hint="eastAsia" w:asciiTheme="minorEastAsia" w:hAnsiTheme="minorEastAsia" w:eastAsiaTheme="minorEastAsia" w:cstheme="minorEastAsia"/>
          <w:b/>
          <w:bCs/>
          <w:sz w:val="28"/>
          <w:szCs w:val="28"/>
        </w:rPr>
        <w:t>要求</w:t>
      </w:r>
      <w:bookmarkEnd w:id="20"/>
      <w:bookmarkEnd w:id="21"/>
    </w:p>
    <w:p w14:paraId="10314192">
      <w:pPr>
        <w:pStyle w:val="7"/>
        <w:spacing w:line="360" w:lineRule="auto"/>
        <w:ind w:firstLine="480" w:firstLineChars="200"/>
        <w:rPr>
          <w:rFonts w:ascii="宋体" w:hAnsi="宋体" w:cs="宋体"/>
          <w:i w:val="0"/>
          <w:iCs w:val="0"/>
          <w:color w:val="auto"/>
          <w:sz w:val="24"/>
          <w:highlight w:val="none"/>
        </w:rPr>
      </w:pPr>
      <w:bookmarkStart w:id="22" w:name="_Toc14041"/>
      <w:bookmarkEnd w:id="22"/>
      <w:bookmarkStart w:id="23" w:name="_Toc30966"/>
      <w:bookmarkEnd w:id="23"/>
      <w:bookmarkStart w:id="24" w:name="_Toc9719"/>
      <w:bookmarkStart w:id="25" w:name="_Toc15559"/>
      <w:r>
        <w:rPr>
          <w:rFonts w:hint="eastAsia" w:ascii="宋体" w:hAnsi="宋体" w:cs="宋体"/>
          <w:i w:val="0"/>
          <w:iCs w:val="0"/>
          <w:color w:val="auto"/>
          <w:sz w:val="24"/>
          <w:highlight w:val="none"/>
        </w:rPr>
        <w:t>3.1</w:t>
      </w:r>
      <w:r>
        <w:rPr>
          <w:rFonts w:hint="eastAsia" w:ascii="宋体" w:hAnsi="宋体" w:cs="宋体"/>
          <w:i w:val="0"/>
          <w:iCs w:val="0"/>
          <w:color w:val="auto"/>
          <w:sz w:val="24"/>
          <w:highlight w:val="none"/>
          <w:lang w:val="en-US" w:eastAsia="zh-CN"/>
        </w:rPr>
        <w:t>投标人应具有独立承担民事责任的能力，且在中华人民共和国境内依法注册的法人或其他组织，提供合法有效的营业执照或事业单位法人证书或其他行政机关颁发可以合法开展业务的法定证明文件</w:t>
      </w:r>
      <w:r>
        <w:rPr>
          <w:rFonts w:hint="eastAsia" w:ascii="宋体" w:hAnsi="宋体" w:cs="宋体"/>
          <w:i w:val="0"/>
          <w:iCs w:val="0"/>
          <w:color w:val="auto"/>
          <w:sz w:val="24"/>
          <w:highlight w:val="none"/>
        </w:rPr>
        <w:t>。</w:t>
      </w:r>
    </w:p>
    <w:p w14:paraId="3119CDCB">
      <w:pPr>
        <w:pStyle w:val="7"/>
        <w:spacing w:line="360" w:lineRule="auto"/>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3.</w:t>
      </w:r>
      <w:r>
        <w:rPr>
          <w:rFonts w:hint="eastAsia" w:ascii="宋体" w:hAnsi="宋体" w:cs="宋体"/>
          <w:i w:val="0"/>
          <w:iCs w:val="0"/>
          <w:color w:val="auto"/>
          <w:sz w:val="24"/>
          <w:highlight w:val="none"/>
          <w:lang w:val="en-US" w:eastAsia="zh-CN"/>
        </w:rPr>
        <w:t>2</w:t>
      </w:r>
      <w:r>
        <w:rPr>
          <w:rFonts w:hint="eastAsia" w:ascii="宋体" w:hAnsi="宋体" w:cs="宋体"/>
          <w:i w:val="0"/>
          <w:iCs w:val="0"/>
          <w:color w:val="auto"/>
          <w:sz w:val="24"/>
          <w:highlight w:val="none"/>
        </w:rPr>
        <w:t>投标人应具有良好的商业信誉和健全的财务会计制度，提供</w:t>
      </w:r>
      <w:r>
        <w:rPr>
          <w:rFonts w:hint="eastAsia" w:ascii="宋体" w:hAnsi="宋体" w:cs="宋体"/>
          <w:i w:val="0"/>
          <w:iCs w:val="0"/>
          <w:color w:val="auto"/>
          <w:sz w:val="24"/>
          <w:highlight w:val="none"/>
          <w:lang w:val="en-US" w:eastAsia="zh-CN"/>
        </w:rPr>
        <w:t>2023年度或2024年</w:t>
      </w:r>
      <w:r>
        <w:rPr>
          <w:rFonts w:hint="eastAsia" w:ascii="宋体" w:hAnsi="宋体" w:cs="宋体"/>
          <w:i w:val="0"/>
          <w:iCs w:val="0"/>
          <w:color w:val="auto"/>
          <w:sz w:val="24"/>
          <w:highlight w:val="none"/>
        </w:rPr>
        <w:t>度经第三方审计的审计报告及财务报表（包括资产负债表、损益表或利润表、现金流量表，复印件或扫描件），新成立的，提供自行编制的财务报表（包括资产负债表、损益表或利润表、现金流量表）。</w:t>
      </w:r>
    </w:p>
    <w:p w14:paraId="459ACE65">
      <w:pPr>
        <w:pStyle w:val="7"/>
        <w:spacing w:line="360" w:lineRule="auto"/>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3.</w:t>
      </w:r>
      <w:r>
        <w:rPr>
          <w:rFonts w:hint="eastAsia" w:ascii="宋体" w:hAnsi="宋体" w:cs="宋体"/>
          <w:i w:val="0"/>
          <w:iCs w:val="0"/>
          <w:color w:val="auto"/>
          <w:sz w:val="24"/>
          <w:highlight w:val="none"/>
          <w:lang w:val="en-US" w:eastAsia="zh-CN"/>
        </w:rPr>
        <w:t>3</w:t>
      </w:r>
      <w:r>
        <w:rPr>
          <w:rFonts w:hint="eastAsia" w:ascii="宋体" w:hAnsi="宋体" w:cs="宋体"/>
          <w:i w:val="0"/>
          <w:iCs w:val="0"/>
          <w:color w:val="auto"/>
          <w:sz w:val="24"/>
          <w:highlight w:val="none"/>
        </w:rPr>
        <w:t>具有依法缴纳税收和社会保障资金的良好记录，提供</w:t>
      </w:r>
      <w:r>
        <w:rPr>
          <w:rFonts w:hint="eastAsia" w:ascii="宋体" w:hAnsi="宋体" w:cs="宋体"/>
          <w:i w:val="0"/>
          <w:iCs w:val="0"/>
          <w:color w:val="auto"/>
          <w:sz w:val="24"/>
          <w:highlight w:val="none"/>
          <w:lang w:eastAsia="zh-CN"/>
        </w:rPr>
        <w:t>202</w:t>
      </w:r>
      <w:r>
        <w:rPr>
          <w:rFonts w:hint="eastAsia" w:ascii="宋体" w:hAnsi="宋体" w:cs="宋体"/>
          <w:i w:val="0"/>
          <w:iCs w:val="0"/>
          <w:color w:val="auto"/>
          <w:sz w:val="24"/>
          <w:highlight w:val="none"/>
          <w:lang w:val="en-US" w:eastAsia="zh-CN"/>
        </w:rPr>
        <w:t>5</w:t>
      </w:r>
      <w:r>
        <w:rPr>
          <w:rFonts w:hint="eastAsia" w:ascii="宋体" w:hAnsi="宋体" w:cs="宋体"/>
          <w:i w:val="0"/>
          <w:iCs w:val="0"/>
          <w:color w:val="auto"/>
          <w:sz w:val="24"/>
          <w:highlight w:val="none"/>
          <w:lang w:eastAsia="zh-CN"/>
        </w:rPr>
        <w:t>年1月至今</w:t>
      </w:r>
      <w:r>
        <w:rPr>
          <w:rFonts w:hint="eastAsia" w:ascii="宋体" w:hAnsi="宋体" w:cs="宋体"/>
          <w:i w:val="0"/>
          <w:iCs w:val="0"/>
          <w:color w:val="auto"/>
          <w:sz w:val="24"/>
          <w:highlight w:val="none"/>
        </w:rPr>
        <w:t>任意3个月依法缴纳税收和缴纳社会保障资金的证明材料(复印件或扫描件加盖公章，成立未满3个月的提供成立以来的税收和社会保障资金缴纳凭证或相关情况说明；依法免税或不需要缴纳社会保障资金的投标人，应提供相应文件证明其依法免税或不需要缴纳社会保障资金)。</w:t>
      </w:r>
    </w:p>
    <w:p w14:paraId="70D787D6">
      <w:pPr>
        <w:pStyle w:val="7"/>
        <w:spacing w:line="360" w:lineRule="auto"/>
        <w:ind w:firstLine="480" w:firstLineChars="200"/>
        <w:rPr>
          <w:rFonts w:hint="eastAsia" w:ascii="宋体" w:hAnsi="宋体" w:cs="宋体"/>
          <w:i w:val="0"/>
          <w:iCs w:val="0"/>
          <w:color w:val="auto"/>
          <w:sz w:val="24"/>
          <w:highlight w:val="none"/>
        </w:rPr>
      </w:pPr>
      <w:r>
        <w:rPr>
          <w:rFonts w:hint="eastAsia" w:ascii="宋体" w:hAnsi="宋体" w:cs="宋体"/>
          <w:i w:val="0"/>
          <w:iCs w:val="0"/>
          <w:color w:val="auto"/>
          <w:sz w:val="24"/>
          <w:highlight w:val="none"/>
        </w:rPr>
        <w:t>3.</w:t>
      </w:r>
      <w:r>
        <w:rPr>
          <w:rFonts w:hint="eastAsia" w:ascii="宋体" w:hAnsi="宋体" w:cs="宋体"/>
          <w:i w:val="0"/>
          <w:iCs w:val="0"/>
          <w:color w:val="auto"/>
          <w:sz w:val="24"/>
          <w:highlight w:val="none"/>
          <w:lang w:val="en-US" w:eastAsia="zh-CN"/>
        </w:rPr>
        <w:t>4</w:t>
      </w:r>
      <w:r>
        <w:rPr>
          <w:rFonts w:hint="eastAsia" w:ascii="宋体" w:hAnsi="宋体" w:cs="宋体"/>
          <w:i w:val="0"/>
          <w:iCs w:val="0"/>
          <w:color w:val="auto"/>
          <w:sz w:val="24"/>
          <w:highlight w:val="none"/>
        </w:rPr>
        <w:t>信誉要求：</w:t>
      </w:r>
    </w:p>
    <w:p w14:paraId="173B6BA0">
      <w:pPr>
        <w:pStyle w:val="7"/>
        <w:spacing w:line="360" w:lineRule="auto"/>
        <w:ind w:firstLine="480" w:firstLineChars="200"/>
        <w:rPr>
          <w:rFonts w:hint="eastAsia" w:ascii="宋体" w:hAnsi="宋体" w:cs="宋体"/>
          <w:i w:val="0"/>
          <w:iCs w:val="0"/>
          <w:color w:val="auto"/>
          <w:sz w:val="24"/>
          <w:highlight w:val="none"/>
        </w:rPr>
      </w:pPr>
      <w:r>
        <w:rPr>
          <w:rFonts w:hint="eastAsia" w:ascii="宋体" w:hAnsi="宋体" w:cs="宋体"/>
          <w:i w:val="0"/>
          <w:iCs w:val="0"/>
          <w:color w:val="auto"/>
          <w:sz w:val="24"/>
          <w:highlight w:val="none"/>
        </w:rPr>
        <w:t>（1）投标人未被列入“信用中国”网站(www.creditchina.gov.cn)“严重失信主体名单”“拖欠农民工工资失信联合惩戒对象名单”、“重大税收违法失信主体”、“政府采购严重违法失信行为记录名单”。</w:t>
      </w:r>
    </w:p>
    <w:p w14:paraId="26309F8B">
      <w:pPr>
        <w:pStyle w:val="7"/>
        <w:spacing w:line="360" w:lineRule="auto"/>
        <w:ind w:firstLine="480" w:firstLineChars="200"/>
        <w:rPr>
          <w:rFonts w:hint="eastAsia" w:ascii="宋体" w:hAnsi="宋体" w:cs="宋体"/>
          <w:i w:val="0"/>
          <w:iCs w:val="0"/>
          <w:color w:val="auto"/>
          <w:sz w:val="24"/>
          <w:highlight w:val="none"/>
        </w:rPr>
      </w:pPr>
      <w:r>
        <w:rPr>
          <w:rFonts w:hint="eastAsia" w:ascii="宋体" w:hAnsi="宋体" w:cs="宋体"/>
          <w:i w:val="0"/>
          <w:iCs w:val="0"/>
          <w:color w:val="auto"/>
          <w:sz w:val="24"/>
          <w:highlight w:val="none"/>
        </w:rPr>
        <w:t>（2）投标人未被列入中国执行信息公开网（http://zxgk.court.gov.cn/）“失信被执行人名单”</w:t>
      </w:r>
      <w:r>
        <w:rPr>
          <w:rFonts w:hint="eastAsia" w:ascii="宋体" w:hAnsi="宋体" w:cs="宋体"/>
          <w:i w:val="0"/>
          <w:iCs w:val="0"/>
          <w:color w:val="auto"/>
          <w:sz w:val="24"/>
          <w:highlight w:val="none"/>
          <w:lang w:eastAsia="zh-CN"/>
        </w:rPr>
        <w:t>。</w:t>
      </w:r>
      <w:r>
        <w:rPr>
          <w:rFonts w:hint="eastAsia" w:ascii="宋体" w:hAnsi="宋体" w:cs="宋体"/>
          <w:i w:val="0"/>
          <w:iCs w:val="0"/>
          <w:color w:val="auto"/>
          <w:sz w:val="24"/>
          <w:highlight w:val="none"/>
        </w:rPr>
        <w:t>（注：上述两项由</w:t>
      </w:r>
      <w:r>
        <w:rPr>
          <w:rFonts w:hint="eastAsia" w:ascii="宋体" w:hAnsi="宋体" w:cs="宋体"/>
          <w:i w:val="0"/>
          <w:iCs w:val="0"/>
          <w:color w:val="auto"/>
          <w:sz w:val="24"/>
          <w:highlight w:val="none"/>
          <w:lang w:eastAsia="zh-CN"/>
        </w:rPr>
        <w:t>采购人</w:t>
      </w:r>
      <w:r>
        <w:rPr>
          <w:rFonts w:hint="eastAsia" w:ascii="宋体" w:hAnsi="宋体" w:cs="宋体"/>
          <w:i w:val="0"/>
          <w:iCs w:val="0"/>
          <w:color w:val="auto"/>
          <w:sz w:val="24"/>
          <w:highlight w:val="none"/>
        </w:rPr>
        <w:t>在开标当天登录相关网站查询并截图，交予评标委员会评审。）；</w:t>
      </w:r>
    </w:p>
    <w:p w14:paraId="7D22CC56">
      <w:pPr>
        <w:pStyle w:val="7"/>
        <w:spacing w:line="360" w:lineRule="auto"/>
        <w:ind w:firstLine="480" w:firstLineChars="200"/>
        <w:rPr>
          <w:rFonts w:hint="eastAsia" w:ascii="宋体" w:hAnsi="宋体" w:cs="宋体"/>
          <w:i w:val="0"/>
          <w:iCs w:val="0"/>
          <w:color w:val="auto"/>
          <w:sz w:val="24"/>
          <w:highlight w:val="none"/>
        </w:rPr>
      </w:pPr>
      <w:r>
        <w:rPr>
          <w:rFonts w:hint="eastAsia" w:ascii="宋体" w:hAnsi="宋体" w:cs="宋体"/>
          <w:i w:val="0"/>
          <w:iCs w:val="0"/>
          <w:color w:val="auto"/>
          <w:sz w:val="24"/>
          <w:highlight w:val="none"/>
        </w:rPr>
        <w:t>3.</w:t>
      </w:r>
      <w:r>
        <w:rPr>
          <w:rFonts w:hint="eastAsia" w:ascii="宋体" w:hAnsi="宋体" w:cs="宋体"/>
          <w:i w:val="0"/>
          <w:iCs w:val="0"/>
          <w:color w:val="auto"/>
          <w:sz w:val="24"/>
          <w:highlight w:val="none"/>
          <w:lang w:val="en-US" w:eastAsia="zh-CN"/>
        </w:rPr>
        <w:t>5</w:t>
      </w:r>
      <w:r>
        <w:rPr>
          <w:rFonts w:hint="eastAsia" w:ascii="宋体" w:hAnsi="宋体" w:cs="宋体"/>
          <w:i w:val="0"/>
          <w:iCs w:val="0"/>
          <w:color w:val="auto"/>
          <w:sz w:val="24"/>
          <w:highlight w:val="none"/>
        </w:rPr>
        <w:t>本次采购不接受联合体投标，且不得以任何形式转包、分包。</w:t>
      </w:r>
    </w:p>
    <w:p w14:paraId="21F4D008">
      <w:pPr>
        <w:pStyle w:val="7"/>
        <w:spacing w:line="360" w:lineRule="auto"/>
        <w:ind w:firstLine="480" w:firstLineChars="200"/>
        <w:rPr>
          <w:rFonts w:hint="eastAsia" w:ascii="宋体" w:hAnsi="宋体" w:cs="宋体"/>
          <w:i w:val="0"/>
          <w:iCs w:val="0"/>
          <w:color w:val="auto"/>
          <w:sz w:val="24"/>
          <w:highlight w:val="none"/>
        </w:rPr>
      </w:pPr>
      <w:r>
        <w:rPr>
          <w:rFonts w:hint="eastAsia" w:ascii="宋体" w:hAnsi="宋体" w:cs="宋体"/>
          <w:i w:val="0"/>
          <w:iCs w:val="0"/>
          <w:color w:val="auto"/>
          <w:sz w:val="24"/>
          <w:highlight w:val="none"/>
        </w:rPr>
        <w:t>3.</w:t>
      </w:r>
      <w:r>
        <w:rPr>
          <w:rFonts w:hint="eastAsia" w:ascii="宋体" w:hAnsi="宋体" w:cs="宋体"/>
          <w:i w:val="0"/>
          <w:iCs w:val="0"/>
          <w:color w:val="auto"/>
          <w:sz w:val="24"/>
          <w:highlight w:val="none"/>
          <w:lang w:val="en-US" w:eastAsia="zh-CN"/>
        </w:rPr>
        <w:t>6</w:t>
      </w:r>
      <w:r>
        <w:rPr>
          <w:rFonts w:hint="eastAsia" w:ascii="宋体" w:hAnsi="宋体" w:cs="宋体"/>
          <w:i w:val="0"/>
          <w:iCs w:val="0"/>
          <w:color w:val="auto"/>
          <w:sz w:val="24"/>
          <w:highlight w:val="none"/>
        </w:rPr>
        <w:t>单位负责人为同一人或者存在控股、管理关系的不同投标人，不得参加同一合同项下的投标活动。</w:t>
      </w:r>
    </w:p>
    <w:p w14:paraId="0CDA85F6">
      <w:pPr>
        <w:pStyle w:val="7"/>
        <w:spacing w:line="360" w:lineRule="auto"/>
        <w:ind w:firstLine="480" w:firstLineChars="200"/>
        <w:rPr>
          <w:rFonts w:hint="eastAsia" w:ascii="宋体" w:hAnsi="宋体" w:cs="宋体"/>
          <w:i w:val="0"/>
          <w:iCs w:val="0"/>
          <w:color w:val="auto"/>
          <w:sz w:val="24"/>
          <w:highlight w:val="none"/>
          <w:lang w:val="en-US" w:eastAsia="zh-CN"/>
        </w:rPr>
      </w:pPr>
      <w:r>
        <w:rPr>
          <w:rFonts w:hint="eastAsia" w:ascii="宋体" w:hAnsi="宋体" w:cs="宋体"/>
          <w:i w:val="0"/>
          <w:iCs w:val="0"/>
          <w:color w:val="auto"/>
          <w:sz w:val="24"/>
          <w:highlight w:val="none"/>
          <w:lang w:val="en-US" w:eastAsia="zh-CN"/>
        </w:rPr>
        <w:t>3.7其他资格要求：</w:t>
      </w:r>
    </w:p>
    <w:p w14:paraId="24A6341B">
      <w:pPr>
        <w:pStyle w:val="7"/>
        <w:spacing w:line="360" w:lineRule="auto"/>
        <w:ind w:firstLine="480" w:firstLineChars="200"/>
        <w:rPr>
          <w:rFonts w:hint="eastAsia" w:ascii="宋体" w:hAnsi="宋体" w:cs="宋体"/>
          <w:i w:val="0"/>
          <w:iCs w:val="0"/>
          <w:color w:val="auto"/>
          <w:sz w:val="24"/>
          <w:highlight w:val="none"/>
          <w:lang w:val="en-US" w:eastAsia="zh-CN"/>
        </w:rPr>
      </w:pPr>
      <w:r>
        <w:rPr>
          <w:rFonts w:hint="eastAsia" w:ascii="宋体" w:hAnsi="宋体" w:cs="宋体"/>
          <w:i w:val="0"/>
          <w:iCs w:val="0"/>
          <w:color w:val="auto"/>
          <w:sz w:val="24"/>
          <w:highlight w:val="none"/>
          <w:lang w:val="en-US" w:eastAsia="zh-CN"/>
        </w:rPr>
        <w:t>投标人如果是代理商或经销商，须提供医疗器械经营许可证/备案、所投产品制造商医疗</w:t>
      </w:r>
      <w:bookmarkStart w:id="319" w:name="_GoBack"/>
      <w:bookmarkEnd w:id="319"/>
      <w:r>
        <w:rPr>
          <w:rFonts w:hint="eastAsia" w:ascii="宋体" w:hAnsi="宋体" w:cs="宋体"/>
          <w:i w:val="0"/>
          <w:iCs w:val="0"/>
          <w:color w:val="auto"/>
          <w:sz w:val="24"/>
          <w:highlight w:val="none"/>
          <w:lang w:val="en-US" w:eastAsia="zh-CN"/>
        </w:rPr>
        <w:t>器械生产许可证（制造商工商注册地在中华人民共和国境外的，不做此要求）、所投产品的医疗器械注册证及附件；投标人如果是制造商，须提供医疗器械生产许可证（制造商工商注册地在中华人民共和国境外的，不做此要求）、所投产品的医疗器械注册证及附件。医疗器械生产或经营许可证生产或经营范围须覆盖所投第二、三类医疗器械（扫描件加盖电子公章。根据中华人民共和国国务院令第739号《医疗器械监督管理条例》和国家药品监督管理局《医疗器械分类目录》的规定，在《医疗器械分类目录》内的产品必须按照《医疗器械监督管理条例》的要求提供，其他不在《医疗器械分类目录》内的不作强行要求）。（提供复印件加盖公章）。</w:t>
      </w:r>
    </w:p>
    <w:bookmarkEnd w:id="24"/>
    <w:bookmarkEnd w:id="25"/>
    <w:p w14:paraId="6F434F4F">
      <w:pPr>
        <w:bidi w:val="0"/>
        <w:rPr>
          <w:rFonts w:hint="eastAsia" w:asciiTheme="minorEastAsia" w:hAnsiTheme="minorEastAsia" w:eastAsiaTheme="minorEastAsia" w:cstheme="minorEastAsia"/>
          <w:b/>
          <w:bCs/>
          <w:sz w:val="28"/>
          <w:szCs w:val="28"/>
        </w:rPr>
      </w:pPr>
      <w:bookmarkStart w:id="26" w:name="_Toc31098"/>
      <w:bookmarkStart w:id="27" w:name="_Toc11594"/>
      <w:bookmarkStart w:id="28" w:name="_Toc18212"/>
      <w:r>
        <w:rPr>
          <w:rFonts w:hint="eastAsia" w:asciiTheme="minorEastAsia" w:hAnsiTheme="minorEastAsia" w:eastAsiaTheme="minorEastAsia" w:cstheme="minorEastAsia"/>
          <w:b/>
          <w:bCs/>
          <w:sz w:val="28"/>
          <w:szCs w:val="28"/>
        </w:rPr>
        <w:t>4.</w:t>
      </w:r>
      <w:r>
        <w:rPr>
          <w:rFonts w:hint="eastAsia" w:asciiTheme="minorEastAsia" w:hAnsiTheme="minorEastAsia" w:eastAsiaTheme="minorEastAsia" w:cstheme="minorEastAsia"/>
          <w:b/>
          <w:bCs/>
          <w:sz w:val="28"/>
          <w:szCs w:val="28"/>
          <w:lang w:eastAsia="zh-CN"/>
        </w:rPr>
        <w:t>招标文件</w:t>
      </w:r>
      <w:r>
        <w:rPr>
          <w:rFonts w:hint="eastAsia" w:asciiTheme="minorEastAsia" w:hAnsiTheme="minorEastAsia" w:eastAsiaTheme="minorEastAsia" w:cstheme="minorEastAsia"/>
          <w:b/>
          <w:bCs/>
          <w:sz w:val="28"/>
          <w:szCs w:val="28"/>
        </w:rPr>
        <w:t>的获取</w:t>
      </w:r>
      <w:bookmarkEnd w:id="26"/>
      <w:bookmarkEnd w:id="27"/>
    </w:p>
    <w:p w14:paraId="3223CD48">
      <w:pPr>
        <w:spacing w:line="360" w:lineRule="auto"/>
        <w:ind w:left="41" w:right="60" w:firstLine="539"/>
        <w:rPr>
          <w:rFonts w:hint="eastAsia" w:ascii="宋体" w:hAnsi="宋体"/>
          <w:color w:val="auto"/>
          <w:kern w:val="2"/>
          <w:sz w:val="24"/>
          <w:szCs w:val="24"/>
        </w:rPr>
      </w:pPr>
      <w:r>
        <w:rPr>
          <w:rFonts w:hint="eastAsia" w:ascii="宋体" w:hAnsi="宋体" w:eastAsia="宋体" w:cs="宋体"/>
          <w:spacing w:val="-6"/>
          <w:sz w:val="24"/>
          <w:szCs w:val="24"/>
          <w:lang w:val="en-US" w:eastAsia="zh-CN"/>
        </w:rPr>
        <w:t>4.1.</w:t>
      </w:r>
      <w:r>
        <w:rPr>
          <w:rFonts w:hint="eastAsia" w:ascii="宋体" w:hAnsi="宋体" w:eastAsia="宋体" w:cs="宋体"/>
          <w:spacing w:val="-6"/>
          <w:sz w:val="24"/>
          <w:szCs w:val="24"/>
          <w:lang w:eastAsia="zh-CN"/>
        </w:rPr>
        <w:t>报名</w:t>
      </w:r>
      <w:r>
        <w:rPr>
          <w:rFonts w:hint="eastAsia" w:ascii="宋体" w:hAnsi="宋体"/>
          <w:color w:val="auto"/>
          <w:kern w:val="2"/>
          <w:sz w:val="24"/>
          <w:szCs w:val="24"/>
        </w:rPr>
        <w:t>时间：20</w:t>
      </w:r>
      <w:r>
        <w:rPr>
          <w:rFonts w:hint="eastAsia" w:ascii="宋体" w:hAnsi="宋体"/>
          <w:color w:val="auto"/>
          <w:kern w:val="2"/>
          <w:sz w:val="24"/>
          <w:szCs w:val="24"/>
          <w:lang w:val="en-US" w:eastAsia="zh-CN"/>
        </w:rPr>
        <w:t>26</w:t>
      </w:r>
      <w:r>
        <w:rPr>
          <w:rFonts w:hint="eastAsia" w:ascii="宋体" w:hAnsi="宋体"/>
          <w:color w:val="auto"/>
          <w:kern w:val="2"/>
          <w:sz w:val="24"/>
          <w:szCs w:val="24"/>
        </w:rPr>
        <w:t>年</w:t>
      </w:r>
      <w:r>
        <w:rPr>
          <w:rFonts w:hint="eastAsia" w:ascii="宋体" w:hAnsi="宋体"/>
          <w:color w:val="auto"/>
          <w:kern w:val="2"/>
          <w:sz w:val="24"/>
          <w:szCs w:val="24"/>
          <w:u w:val="single"/>
          <w:lang w:val="en-US" w:eastAsia="zh-CN"/>
        </w:rPr>
        <w:t>6</w:t>
      </w:r>
      <w:r>
        <w:rPr>
          <w:rFonts w:hint="eastAsia" w:ascii="宋体" w:hAnsi="宋体"/>
          <w:color w:val="auto"/>
          <w:kern w:val="2"/>
          <w:sz w:val="24"/>
          <w:szCs w:val="24"/>
        </w:rPr>
        <w:t>月</w:t>
      </w:r>
      <w:r>
        <w:rPr>
          <w:rFonts w:hint="eastAsia" w:ascii="宋体" w:hAnsi="宋体"/>
          <w:color w:val="auto"/>
          <w:kern w:val="2"/>
          <w:sz w:val="24"/>
          <w:szCs w:val="24"/>
          <w:u w:val="single"/>
          <w:lang w:val="en-US" w:eastAsia="zh-CN"/>
        </w:rPr>
        <w:t>2</w:t>
      </w:r>
      <w:r>
        <w:rPr>
          <w:rFonts w:hint="eastAsia" w:ascii="宋体" w:hAnsi="宋体"/>
          <w:color w:val="auto"/>
          <w:kern w:val="2"/>
          <w:sz w:val="24"/>
          <w:szCs w:val="24"/>
        </w:rPr>
        <w:t>日至20</w:t>
      </w:r>
      <w:r>
        <w:rPr>
          <w:rFonts w:hint="eastAsia" w:ascii="宋体" w:hAnsi="宋体"/>
          <w:color w:val="auto"/>
          <w:kern w:val="2"/>
          <w:sz w:val="24"/>
          <w:szCs w:val="24"/>
          <w:lang w:val="en-US" w:eastAsia="zh-CN"/>
        </w:rPr>
        <w:t>26</w:t>
      </w:r>
      <w:r>
        <w:rPr>
          <w:rFonts w:hint="eastAsia" w:ascii="宋体" w:hAnsi="宋体"/>
          <w:color w:val="auto"/>
          <w:kern w:val="2"/>
          <w:sz w:val="24"/>
          <w:szCs w:val="24"/>
        </w:rPr>
        <w:t>年</w:t>
      </w:r>
      <w:r>
        <w:rPr>
          <w:rFonts w:hint="eastAsia" w:ascii="宋体" w:hAnsi="宋体"/>
          <w:color w:val="auto"/>
          <w:kern w:val="2"/>
          <w:sz w:val="24"/>
          <w:szCs w:val="24"/>
          <w:u w:val="single"/>
          <w:lang w:val="en-US" w:eastAsia="zh-CN"/>
        </w:rPr>
        <w:t>6</w:t>
      </w:r>
      <w:r>
        <w:rPr>
          <w:rFonts w:hint="eastAsia" w:ascii="宋体" w:hAnsi="宋体"/>
          <w:color w:val="auto"/>
          <w:kern w:val="2"/>
          <w:sz w:val="24"/>
          <w:szCs w:val="24"/>
        </w:rPr>
        <w:t>月</w:t>
      </w:r>
      <w:r>
        <w:rPr>
          <w:rFonts w:hint="eastAsia" w:ascii="宋体" w:hAnsi="宋体"/>
          <w:color w:val="auto"/>
          <w:kern w:val="2"/>
          <w:sz w:val="24"/>
          <w:szCs w:val="24"/>
          <w:u w:val="single"/>
          <w:lang w:val="en-US" w:eastAsia="zh-CN"/>
        </w:rPr>
        <w:t>4</w:t>
      </w:r>
      <w:r>
        <w:rPr>
          <w:rFonts w:hint="eastAsia" w:ascii="宋体" w:hAnsi="宋体"/>
          <w:color w:val="auto"/>
          <w:kern w:val="2"/>
          <w:sz w:val="24"/>
          <w:szCs w:val="24"/>
        </w:rPr>
        <w:t>日，每天上午0</w:t>
      </w:r>
      <w:r>
        <w:rPr>
          <w:rFonts w:hint="eastAsia" w:ascii="宋体" w:hAnsi="宋体"/>
          <w:color w:val="auto"/>
          <w:kern w:val="2"/>
          <w:sz w:val="24"/>
          <w:szCs w:val="24"/>
          <w:lang w:val="en-US" w:eastAsia="zh-CN"/>
        </w:rPr>
        <w:t>8</w:t>
      </w:r>
      <w:r>
        <w:rPr>
          <w:rFonts w:hint="eastAsia" w:ascii="宋体" w:hAnsi="宋体"/>
          <w:color w:val="auto"/>
          <w:kern w:val="2"/>
          <w:sz w:val="24"/>
          <w:szCs w:val="24"/>
        </w:rPr>
        <w:t>时</w:t>
      </w:r>
      <w:r>
        <w:rPr>
          <w:rFonts w:hint="eastAsia" w:ascii="宋体" w:hAnsi="宋体"/>
          <w:color w:val="auto"/>
          <w:kern w:val="2"/>
          <w:sz w:val="24"/>
          <w:szCs w:val="24"/>
          <w:lang w:val="en-US" w:eastAsia="zh-CN"/>
        </w:rPr>
        <w:t>3</w:t>
      </w:r>
      <w:r>
        <w:rPr>
          <w:rFonts w:hint="eastAsia" w:ascii="宋体" w:hAnsi="宋体"/>
          <w:color w:val="auto"/>
          <w:kern w:val="2"/>
          <w:sz w:val="24"/>
          <w:szCs w:val="24"/>
        </w:rPr>
        <w:t>0分至11时30分，下午14时00分至17时</w:t>
      </w:r>
      <w:r>
        <w:rPr>
          <w:rFonts w:hint="eastAsia" w:ascii="宋体" w:hAnsi="宋体"/>
          <w:color w:val="auto"/>
          <w:kern w:val="2"/>
          <w:sz w:val="24"/>
          <w:szCs w:val="24"/>
          <w:lang w:val="en-US" w:eastAsia="zh-CN"/>
        </w:rPr>
        <w:t>3</w:t>
      </w:r>
      <w:r>
        <w:rPr>
          <w:rFonts w:hint="eastAsia" w:ascii="宋体" w:hAnsi="宋体"/>
          <w:color w:val="auto"/>
          <w:kern w:val="2"/>
          <w:sz w:val="24"/>
          <w:szCs w:val="24"/>
        </w:rPr>
        <w:t>0分。</w:t>
      </w:r>
      <w:r>
        <w:rPr>
          <w:rFonts w:hint="eastAsia" w:ascii="宋体" w:hAnsi="宋体" w:eastAsia="宋体" w:cs="宋体"/>
          <w:sz w:val="24"/>
          <w:szCs w:val="24"/>
          <w:highlight w:val="none"/>
        </w:rPr>
        <w:t>（北京时间）</w:t>
      </w:r>
    </w:p>
    <w:p w14:paraId="72D5B51C">
      <w:pPr>
        <w:spacing w:line="360" w:lineRule="auto"/>
        <w:ind w:left="41" w:right="60" w:firstLine="539"/>
        <w:rPr>
          <w:rFonts w:ascii="宋体" w:hAnsi="宋体" w:eastAsia="宋体" w:cs="宋体"/>
          <w:sz w:val="24"/>
          <w:szCs w:val="24"/>
        </w:rPr>
      </w:pPr>
      <w:r>
        <w:rPr>
          <w:rFonts w:hint="eastAsia" w:ascii="宋体" w:hAnsi="宋体"/>
          <w:color w:val="auto"/>
          <w:kern w:val="2"/>
          <w:sz w:val="24"/>
          <w:szCs w:val="24"/>
          <w:lang w:eastAsia="zh-CN"/>
        </w:rPr>
        <w:t>地点：</w:t>
      </w:r>
      <w:r>
        <w:rPr>
          <w:rFonts w:hint="eastAsia" w:ascii="宋体" w:hAnsi="宋体" w:eastAsia="宋体" w:cs="宋体"/>
          <w:spacing w:val="-6"/>
          <w:sz w:val="24"/>
          <w:szCs w:val="24"/>
          <w:lang w:eastAsia="zh-CN"/>
        </w:rPr>
        <w:t>红河州第二人民医院行政办公区</w:t>
      </w:r>
      <w:r>
        <w:rPr>
          <w:rFonts w:hint="eastAsia" w:ascii="宋体" w:hAnsi="宋体" w:eastAsia="宋体" w:cs="宋体"/>
          <w:spacing w:val="-6"/>
          <w:sz w:val="24"/>
          <w:szCs w:val="24"/>
          <w:lang w:val="en-US" w:eastAsia="zh-CN"/>
        </w:rPr>
        <w:t>204室</w:t>
      </w:r>
      <w:r>
        <w:rPr>
          <w:rFonts w:hint="eastAsia" w:ascii="宋体" w:hAnsi="宋体" w:eastAsia="宋体" w:cs="宋体"/>
          <w:spacing w:val="-6"/>
          <w:sz w:val="24"/>
          <w:szCs w:val="24"/>
          <w:lang w:eastAsia="zh-CN"/>
        </w:rPr>
        <w:t>招标采购办公室，</w:t>
      </w:r>
      <w:r>
        <w:rPr>
          <w:rFonts w:hint="eastAsia" w:ascii="宋体" w:hAnsi="宋体" w:eastAsia="宋体" w:cs="宋体"/>
          <w:spacing w:val="-6"/>
          <w:sz w:val="24"/>
          <w:szCs w:val="24"/>
          <w:lang w:val="en-US" w:eastAsia="zh-CN"/>
        </w:rPr>
        <w:t>如不能到达现场报名，可用线上报名的方式</w:t>
      </w:r>
      <w:r>
        <w:rPr>
          <w:rFonts w:hint="eastAsia" w:ascii="宋体" w:hAnsi="宋体" w:eastAsia="宋体" w:cs="宋体"/>
          <w:spacing w:val="-6"/>
          <w:sz w:val="24"/>
          <w:szCs w:val="24"/>
          <w:lang w:eastAsia="zh-CN"/>
        </w:rPr>
        <w:t>。线上报名：可将报名资料发至</w:t>
      </w:r>
      <w:r>
        <w:rPr>
          <w:rFonts w:hint="eastAsia" w:ascii="宋体" w:hAnsi="宋体" w:eastAsia="宋体" w:cs="宋体"/>
          <w:spacing w:val="-6"/>
          <w:sz w:val="24"/>
          <w:szCs w:val="24"/>
          <w:lang w:val="en-US" w:eastAsia="zh-CN"/>
        </w:rPr>
        <w:t>18988261612@163.com邮箱。</w:t>
      </w:r>
    </w:p>
    <w:p w14:paraId="34759EBA">
      <w:pPr>
        <w:keepNext w:val="0"/>
        <w:keepLines w:val="0"/>
        <w:pageBreakBefore w:val="0"/>
        <w:widowControl w:val="0"/>
        <w:kinsoku/>
        <w:wordWrap/>
        <w:overflowPunct/>
        <w:topLinePunct w:val="0"/>
        <w:autoSpaceDE/>
        <w:autoSpaceDN/>
        <w:bidi w:val="0"/>
        <w:adjustRightInd/>
        <w:snapToGrid/>
        <w:spacing w:line="360" w:lineRule="auto"/>
        <w:ind w:firstLine="464"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spacing w:val="-4"/>
          <w:sz w:val="24"/>
          <w:szCs w:val="24"/>
          <w:lang w:val="en-US" w:eastAsia="zh-CN"/>
        </w:rPr>
        <w:t>4.2.</w:t>
      </w:r>
      <w:r>
        <w:rPr>
          <w:rFonts w:hint="eastAsia" w:ascii="宋体" w:hAnsi="宋体" w:eastAsia="宋体" w:cs="宋体"/>
          <w:spacing w:val="-4"/>
          <w:sz w:val="24"/>
          <w:szCs w:val="24"/>
          <w:lang w:eastAsia="zh-CN"/>
        </w:rPr>
        <w:t>报名资料</w:t>
      </w:r>
      <w:r>
        <w:rPr>
          <w:rFonts w:ascii="宋体" w:hAnsi="宋体" w:eastAsia="宋体" w:cs="宋体"/>
          <w:spacing w:val="-4"/>
          <w:sz w:val="24"/>
          <w:szCs w:val="24"/>
        </w:rPr>
        <w:t>：持企业营业执照复印件加盖公章</w:t>
      </w:r>
      <w:r>
        <w:rPr>
          <w:rFonts w:hint="eastAsia" w:ascii="宋体" w:hAnsi="宋体" w:eastAsia="宋体" w:cs="宋体"/>
          <w:spacing w:val="-4"/>
          <w:sz w:val="24"/>
          <w:szCs w:val="24"/>
          <w:lang w:eastAsia="zh-CN"/>
        </w:rPr>
        <w:t>，</w:t>
      </w:r>
      <w:r>
        <w:rPr>
          <w:rFonts w:ascii="宋体" w:hAnsi="宋体" w:eastAsia="宋体" w:cs="宋体"/>
          <w:spacing w:val="-4"/>
          <w:sz w:val="24"/>
          <w:szCs w:val="24"/>
        </w:rPr>
        <w:t>法定代表人身份证明书及法定代表人身份</w:t>
      </w:r>
      <w:r>
        <w:rPr>
          <w:rFonts w:ascii="宋体" w:hAnsi="宋体" w:eastAsia="宋体" w:cs="宋体"/>
          <w:spacing w:val="-3"/>
          <w:sz w:val="24"/>
          <w:szCs w:val="24"/>
        </w:rPr>
        <w:t>证</w:t>
      </w:r>
      <w:r>
        <w:rPr>
          <w:rFonts w:ascii="宋体" w:hAnsi="宋体" w:eastAsia="宋体" w:cs="宋体"/>
          <w:spacing w:val="11"/>
          <w:sz w:val="24"/>
          <w:szCs w:val="24"/>
        </w:rPr>
        <w:t>(</w:t>
      </w:r>
      <w:r>
        <w:rPr>
          <w:rFonts w:ascii="宋体" w:hAnsi="宋体" w:eastAsia="宋体" w:cs="宋体"/>
          <w:spacing w:val="6"/>
          <w:sz w:val="24"/>
          <w:szCs w:val="24"/>
        </w:rPr>
        <w:t>复印件加盖公章)</w:t>
      </w:r>
      <w:r>
        <w:rPr>
          <w:rFonts w:hint="eastAsia" w:ascii="宋体" w:hAnsi="宋体" w:eastAsia="宋体" w:cs="宋体"/>
          <w:spacing w:val="6"/>
          <w:sz w:val="24"/>
          <w:szCs w:val="24"/>
          <w:lang w:val="en-US" w:eastAsia="zh-CN"/>
        </w:rPr>
        <w:t>,</w:t>
      </w:r>
      <w:r>
        <w:rPr>
          <w:rFonts w:ascii="宋体" w:hAnsi="宋体" w:eastAsia="宋体" w:cs="宋体"/>
          <w:spacing w:val="6"/>
          <w:sz w:val="24"/>
          <w:szCs w:val="24"/>
        </w:rPr>
        <w:t>法定代表人授权</w:t>
      </w:r>
      <w:r>
        <w:rPr>
          <w:rFonts w:hint="eastAsia" w:ascii="宋体" w:hAnsi="宋体" w:eastAsia="宋体" w:cs="宋体"/>
          <w:spacing w:val="6"/>
          <w:sz w:val="24"/>
          <w:szCs w:val="24"/>
          <w:lang w:eastAsia="zh-CN"/>
        </w:rPr>
        <w:t>委托书</w:t>
      </w:r>
      <w:r>
        <w:rPr>
          <w:rFonts w:ascii="宋体" w:hAnsi="宋体" w:eastAsia="宋体" w:cs="宋体"/>
          <w:spacing w:val="6"/>
          <w:sz w:val="24"/>
          <w:szCs w:val="24"/>
        </w:rPr>
        <w:t>及授权</w:t>
      </w:r>
      <w:r>
        <w:rPr>
          <w:rFonts w:hint="eastAsia" w:ascii="宋体" w:hAnsi="宋体" w:eastAsia="宋体" w:cs="宋体"/>
          <w:spacing w:val="6"/>
          <w:sz w:val="24"/>
          <w:szCs w:val="24"/>
          <w:lang w:eastAsia="zh-CN"/>
        </w:rPr>
        <w:t>委托人</w:t>
      </w:r>
      <w:r>
        <w:rPr>
          <w:rFonts w:ascii="宋体" w:hAnsi="宋体" w:eastAsia="宋体" w:cs="宋体"/>
          <w:spacing w:val="6"/>
          <w:sz w:val="24"/>
          <w:szCs w:val="24"/>
        </w:rPr>
        <w:t>身份证(复印件加盖公章)</w:t>
      </w:r>
      <w:r>
        <w:rPr>
          <w:rFonts w:hint="eastAsia" w:ascii="宋体" w:hAnsi="宋体" w:eastAsia="宋体" w:cs="宋体"/>
          <w:spacing w:val="6"/>
          <w:sz w:val="24"/>
          <w:szCs w:val="24"/>
          <w:lang w:eastAsia="zh-CN"/>
        </w:rPr>
        <w:t>及联系电话。</w:t>
      </w:r>
    </w:p>
    <w:p w14:paraId="668EF269">
      <w:pPr>
        <w:widowControl/>
        <w:numPr>
          <w:ilvl w:val="0"/>
          <w:numId w:val="0"/>
        </w:numPr>
        <w:tabs>
          <w:tab w:val="left" w:pos="162"/>
        </w:tabs>
        <w:spacing w:before="4" w:line="358" w:lineRule="auto"/>
        <w:ind w:right="41" w:rightChars="0" w:firstLine="464" w:firstLineChars="200"/>
        <w:jc w:val="left"/>
        <w:rPr>
          <w:rFonts w:hint="eastAsia" w:ascii="宋体" w:hAnsi="宋体" w:eastAsia="宋体" w:cs="宋体"/>
          <w:spacing w:val="-4"/>
          <w:kern w:val="0"/>
          <w:sz w:val="24"/>
          <w:szCs w:val="24"/>
          <w:lang w:val="en-US" w:eastAsia="zh-CN"/>
        </w:rPr>
      </w:pPr>
      <w:r>
        <w:rPr>
          <w:rFonts w:hint="eastAsia" w:ascii="宋体" w:hAnsi="宋体" w:eastAsia="宋体" w:cs="宋体"/>
          <w:spacing w:val="-4"/>
          <w:kern w:val="0"/>
          <w:sz w:val="24"/>
          <w:szCs w:val="24"/>
          <w:lang w:val="en-US" w:eastAsia="zh-CN"/>
        </w:rPr>
        <w:t>4.3.获取采购文件：</w:t>
      </w:r>
    </w:p>
    <w:p w14:paraId="72FB24B4">
      <w:pPr>
        <w:widowControl/>
        <w:numPr>
          <w:ilvl w:val="0"/>
          <w:numId w:val="0"/>
        </w:numPr>
        <w:tabs>
          <w:tab w:val="left" w:pos="162"/>
        </w:tabs>
        <w:spacing w:before="4" w:line="358" w:lineRule="auto"/>
        <w:ind w:right="41" w:rightChars="0" w:firstLine="464" w:firstLineChars="200"/>
        <w:jc w:val="left"/>
        <w:rPr>
          <w:rFonts w:hint="eastAsia" w:ascii="宋体" w:hAnsi="宋体" w:eastAsia="宋体" w:cs="宋体"/>
          <w:spacing w:val="-4"/>
          <w:kern w:val="0"/>
          <w:sz w:val="24"/>
          <w:szCs w:val="24"/>
          <w:lang w:val="en-US" w:eastAsia="zh-CN"/>
        </w:rPr>
      </w:pPr>
      <w:r>
        <w:rPr>
          <w:rFonts w:hint="eastAsia" w:ascii="宋体" w:hAnsi="宋体" w:eastAsia="宋体" w:cs="宋体"/>
          <w:spacing w:val="-4"/>
          <w:kern w:val="0"/>
          <w:sz w:val="24"/>
          <w:szCs w:val="24"/>
          <w:lang w:val="en-US" w:eastAsia="zh-CN"/>
        </w:rPr>
        <w:t>报名后到红河州第二人民医院https://www.hh2yy.com/index.html官网进行下载，免费获取。</w:t>
      </w:r>
    </w:p>
    <w:p w14:paraId="46445B3C">
      <w:pPr>
        <w:bidi w:val="0"/>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lang w:val="en-US" w:eastAsia="zh-CN"/>
        </w:rPr>
        <w:t>5</w:t>
      </w:r>
      <w:r>
        <w:rPr>
          <w:rFonts w:hint="eastAsia" w:asciiTheme="minorEastAsia" w:hAnsiTheme="minorEastAsia" w:eastAsiaTheme="minorEastAsia" w:cstheme="minorEastAsia"/>
          <w:b/>
          <w:bCs/>
          <w:sz w:val="28"/>
          <w:szCs w:val="28"/>
        </w:rPr>
        <w:t>、响应文件提交</w:t>
      </w:r>
    </w:p>
    <w:p w14:paraId="1578F5A3">
      <w:pPr>
        <w:pageBreakBefore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highlight w:val="none"/>
          <w:u w:val="none"/>
        </w:rPr>
      </w:pPr>
      <w:r>
        <w:rPr>
          <w:rFonts w:hint="eastAsia" w:ascii="宋体" w:hAnsi="宋体" w:eastAsia="宋体" w:cs="宋体"/>
          <w:sz w:val="24"/>
          <w:szCs w:val="24"/>
          <w:highlight w:val="none"/>
        </w:rPr>
        <w:t>截止时间：</w:t>
      </w:r>
      <w:r>
        <w:rPr>
          <w:rFonts w:hint="eastAsia" w:ascii="宋体" w:hAnsi="宋体" w:cs="宋体"/>
          <w:b/>
          <w:i w:val="0"/>
          <w:caps w:val="0"/>
          <w:color w:val="auto"/>
          <w:spacing w:val="0"/>
          <w:kern w:val="0"/>
          <w:sz w:val="24"/>
          <w:szCs w:val="24"/>
          <w:u w:val="single"/>
          <w:shd w:val="clear" w:color="auto" w:fill="FFFFFF"/>
          <w:lang w:val="en-US" w:eastAsia="zh-CN" w:bidi="ar"/>
        </w:rPr>
        <w:t>2026</w:t>
      </w:r>
      <w:r>
        <w:rPr>
          <w:rFonts w:hint="eastAsia" w:ascii="宋体" w:hAnsi="宋体" w:cs="宋体"/>
          <w:b/>
          <w:i w:val="0"/>
          <w:caps w:val="0"/>
          <w:color w:val="auto"/>
          <w:spacing w:val="0"/>
          <w:kern w:val="0"/>
          <w:sz w:val="24"/>
          <w:szCs w:val="24"/>
          <w:shd w:val="clear" w:color="auto" w:fill="FFFFFF"/>
          <w:lang w:val="en-US" w:eastAsia="zh-CN" w:bidi="ar"/>
        </w:rPr>
        <w:t>年</w:t>
      </w:r>
      <w:r>
        <w:rPr>
          <w:rFonts w:hint="eastAsia" w:ascii="宋体" w:hAnsi="宋体" w:cs="宋体"/>
          <w:b w:val="0"/>
          <w:bCs/>
          <w:i w:val="0"/>
          <w:caps w:val="0"/>
          <w:color w:val="auto"/>
          <w:spacing w:val="0"/>
          <w:kern w:val="0"/>
          <w:sz w:val="24"/>
          <w:szCs w:val="24"/>
          <w:u w:val="single"/>
          <w:shd w:val="clear" w:color="auto" w:fill="FFFFFF"/>
          <w:lang w:val="en-US" w:eastAsia="zh-CN" w:bidi="ar"/>
        </w:rPr>
        <w:t>6</w:t>
      </w:r>
      <w:r>
        <w:rPr>
          <w:rFonts w:hint="eastAsia" w:ascii="宋体" w:hAnsi="宋体" w:cs="宋体"/>
          <w:b w:val="0"/>
          <w:bCs/>
          <w:i w:val="0"/>
          <w:caps w:val="0"/>
          <w:color w:val="auto"/>
          <w:spacing w:val="0"/>
          <w:kern w:val="0"/>
          <w:sz w:val="24"/>
          <w:szCs w:val="24"/>
          <w:u w:val="none"/>
          <w:shd w:val="clear" w:color="auto" w:fill="FFFFFF"/>
          <w:lang w:val="en-US" w:eastAsia="zh-CN" w:bidi="ar"/>
        </w:rPr>
        <w:t>月</w:t>
      </w:r>
      <w:r>
        <w:rPr>
          <w:rFonts w:hint="eastAsia" w:ascii="宋体" w:hAnsi="宋体" w:cs="宋体"/>
          <w:b w:val="0"/>
          <w:bCs/>
          <w:i w:val="0"/>
          <w:caps w:val="0"/>
          <w:color w:val="auto"/>
          <w:spacing w:val="0"/>
          <w:kern w:val="0"/>
          <w:sz w:val="24"/>
          <w:szCs w:val="24"/>
          <w:u w:val="single"/>
          <w:shd w:val="clear" w:color="auto" w:fill="FFFFFF"/>
          <w:lang w:val="en-US" w:eastAsia="zh-CN" w:bidi="ar"/>
        </w:rPr>
        <w:t>11</w:t>
      </w:r>
      <w:r>
        <w:rPr>
          <w:rFonts w:hint="eastAsia" w:ascii="宋体" w:hAnsi="宋体" w:cs="宋体"/>
          <w:b w:val="0"/>
          <w:bCs/>
          <w:i w:val="0"/>
          <w:caps w:val="0"/>
          <w:color w:val="auto"/>
          <w:spacing w:val="0"/>
          <w:kern w:val="0"/>
          <w:sz w:val="24"/>
          <w:szCs w:val="24"/>
          <w:u w:val="none"/>
          <w:shd w:val="clear" w:color="auto" w:fill="FFFFFF"/>
          <w:lang w:val="en-US" w:eastAsia="zh-CN" w:bidi="ar"/>
        </w:rPr>
        <w:t>日下午</w:t>
      </w:r>
      <w:r>
        <w:rPr>
          <w:rFonts w:hint="eastAsia" w:ascii="宋体" w:hAnsi="宋体" w:cs="宋体"/>
          <w:b w:val="0"/>
          <w:bCs/>
          <w:i w:val="0"/>
          <w:caps w:val="0"/>
          <w:color w:val="auto"/>
          <w:spacing w:val="0"/>
          <w:kern w:val="0"/>
          <w:sz w:val="24"/>
          <w:szCs w:val="24"/>
          <w:u w:val="single"/>
          <w:shd w:val="clear" w:color="auto" w:fill="FFFFFF"/>
          <w:lang w:val="en-US" w:eastAsia="zh-CN" w:bidi="ar"/>
        </w:rPr>
        <w:t>14</w:t>
      </w:r>
      <w:r>
        <w:rPr>
          <w:rFonts w:hint="eastAsia" w:ascii="宋体" w:hAnsi="宋体" w:cs="宋体"/>
          <w:b w:val="0"/>
          <w:bCs/>
          <w:i w:val="0"/>
          <w:caps w:val="0"/>
          <w:color w:val="auto"/>
          <w:spacing w:val="0"/>
          <w:kern w:val="0"/>
          <w:sz w:val="24"/>
          <w:szCs w:val="24"/>
          <w:u w:val="none"/>
          <w:shd w:val="clear" w:color="auto" w:fill="FFFFFF"/>
          <w:lang w:val="en-US" w:eastAsia="zh-CN" w:bidi="ar"/>
        </w:rPr>
        <w:t>时</w:t>
      </w:r>
      <w:r>
        <w:rPr>
          <w:rFonts w:hint="eastAsia" w:ascii="宋体" w:hAnsi="宋体" w:cs="宋体"/>
          <w:b w:val="0"/>
          <w:bCs/>
          <w:i w:val="0"/>
          <w:caps w:val="0"/>
          <w:color w:val="auto"/>
          <w:spacing w:val="0"/>
          <w:kern w:val="0"/>
          <w:sz w:val="24"/>
          <w:szCs w:val="24"/>
          <w:u w:val="single"/>
          <w:shd w:val="clear" w:color="auto" w:fill="FFFFFF"/>
          <w:lang w:val="en-US" w:eastAsia="zh-CN" w:bidi="ar"/>
        </w:rPr>
        <w:t>30</w:t>
      </w:r>
      <w:r>
        <w:rPr>
          <w:rFonts w:hint="eastAsia" w:ascii="宋体" w:hAnsi="宋体" w:cs="宋体"/>
          <w:b w:val="0"/>
          <w:bCs/>
          <w:i w:val="0"/>
          <w:caps w:val="0"/>
          <w:color w:val="auto"/>
          <w:spacing w:val="0"/>
          <w:kern w:val="0"/>
          <w:sz w:val="24"/>
          <w:szCs w:val="24"/>
          <w:u w:val="none"/>
          <w:shd w:val="clear" w:color="auto" w:fill="FFFFFF"/>
          <w:lang w:val="en-US" w:eastAsia="zh-CN" w:bidi="ar"/>
        </w:rPr>
        <w:t>分</w:t>
      </w:r>
      <w:r>
        <w:rPr>
          <w:rFonts w:hint="eastAsia" w:ascii="宋体" w:hAnsi="宋体" w:eastAsia="宋体" w:cs="宋体"/>
          <w:color w:val="auto"/>
          <w:sz w:val="24"/>
          <w:szCs w:val="24"/>
          <w:highlight w:val="none"/>
          <w:u w:val="none"/>
          <w:lang w:val="en-US" w:eastAsia="zh-CN"/>
        </w:rPr>
        <w:t>（北京时间）</w:t>
      </w:r>
    </w:p>
    <w:p w14:paraId="62CAF3B2">
      <w:pPr>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u w:val="none"/>
          <w:lang w:val="en-US" w:eastAsia="zh-CN"/>
        </w:rPr>
        <w:t>地点：</w:t>
      </w:r>
      <w:r>
        <w:rPr>
          <w:rFonts w:hint="eastAsia" w:ascii="宋体" w:hAnsi="宋体"/>
          <w:color w:val="auto"/>
          <w:kern w:val="2"/>
          <w:sz w:val="24"/>
          <w:szCs w:val="24"/>
        </w:rPr>
        <w:t>红河州第二人民医院行政办公区</w:t>
      </w:r>
      <w:r>
        <w:rPr>
          <w:rFonts w:hint="eastAsia" w:ascii="宋体" w:hAnsi="宋体"/>
          <w:color w:val="auto"/>
          <w:kern w:val="2"/>
          <w:sz w:val="24"/>
          <w:szCs w:val="24"/>
          <w:lang w:val="en-US" w:eastAsia="zh-CN"/>
        </w:rPr>
        <w:t>204</w:t>
      </w:r>
      <w:r>
        <w:rPr>
          <w:rFonts w:hint="eastAsia" w:ascii="宋体" w:hAnsi="宋体"/>
          <w:color w:val="auto"/>
          <w:kern w:val="2"/>
          <w:sz w:val="24"/>
          <w:szCs w:val="24"/>
        </w:rPr>
        <w:t>室</w:t>
      </w:r>
    </w:p>
    <w:p w14:paraId="5070121A">
      <w:pPr>
        <w:bidi w:val="0"/>
        <w:rPr>
          <w:rFonts w:hint="eastAsia" w:asciiTheme="minorEastAsia" w:hAnsiTheme="minorEastAsia" w:eastAsiaTheme="minorEastAsia" w:cstheme="minorEastAsia"/>
          <w:b/>
          <w:bCs/>
          <w:color w:val="auto"/>
          <w:sz w:val="28"/>
          <w:szCs w:val="28"/>
          <w:lang w:val="en-US" w:eastAsia="zh-CN"/>
        </w:rPr>
      </w:pPr>
      <w:bookmarkStart w:id="29" w:name="_Toc28359016"/>
      <w:bookmarkStart w:id="30" w:name="_Toc35393802"/>
      <w:bookmarkStart w:id="31" w:name="_Toc28359093"/>
      <w:bookmarkStart w:id="32" w:name="_Toc35393633"/>
      <w:r>
        <w:rPr>
          <w:rFonts w:hint="eastAsia" w:asciiTheme="minorEastAsia" w:hAnsiTheme="minorEastAsia" w:eastAsiaTheme="minorEastAsia" w:cstheme="minorEastAsia"/>
          <w:b/>
          <w:bCs/>
          <w:color w:val="auto"/>
          <w:sz w:val="28"/>
          <w:szCs w:val="28"/>
          <w:lang w:val="en-US" w:eastAsia="zh-CN"/>
        </w:rPr>
        <w:t>6、开启</w:t>
      </w:r>
      <w:bookmarkEnd w:id="29"/>
      <w:bookmarkEnd w:id="30"/>
      <w:bookmarkEnd w:id="31"/>
      <w:bookmarkEnd w:id="32"/>
    </w:p>
    <w:p w14:paraId="4B1727AF">
      <w:pPr>
        <w:pageBreakBefore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themeColor="text1"/>
          <w:sz w:val="24"/>
          <w:szCs w:val="24"/>
          <w:highlight w:val="none"/>
          <w:u w:val="none"/>
          <w14:textFill>
            <w14:solidFill>
              <w14:schemeClr w14:val="tx1"/>
            </w14:solidFill>
          </w14:textFill>
        </w:rPr>
      </w:pPr>
      <w:r>
        <w:rPr>
          <w:rFonts w:hint="eastAsia" w:ascii="宋体" w:hAnsi="宋体" w:eastAsia="宋体" w:cs="宋体"/>
          <w:color w:val="auto"/>
          <w:sz w:val="24"/>
          <w:szCs w:val="24"/>
          <w:highlight w:val="none"/>
        </w:rPr>
        <w:t>时间：</w:t>
      </w:r>
      <w:r>
        <w:rPr>
          <w:rFonts w:hint="eastAsia" w:ascii="宋体" w:hAnsi="宋体" w:cs="宋体"/>
          <w:b/>
          <w:i w:val="0"/>
          <w:caps w:val="0"/>
          <w:color w:val="auto"/>
          <w:spacing w:val="0"/>
          <w:kern w:val="0"/>
          <w:sz w:val="24"/>
          <w:szCs w:val="24"/>
          <w:u w:val="single"/>
          <w:shd w:val="clear" w:color="auto" w:fill="FFFFFF"/>
          <w:lang w:val="en-US" w:eastAsia="zh-CN" w:bidi="ar"/>
        </w:rPr>
        <w:t>2026</w:t>
      </w:r>
      <w:r>
        <w:rPr>
          <w:rFonts w:hint="eastAsia" w:ascii="宋体" w:hAnsi="宋体" w:cs="宋体"/>
          <w:b/>
          <w:i w:val="0"/>
          <w:caps w:val="0"/>
          <w:color w:val="auto"/>
          <w:spacing w:val="0"/>
          <w:kern w:val="0"/>
          <w:sz w:val="24"/>
          <w:szCs w:val="24"/>
          <w:shd w:val="clear" w:color="auto" w:fill="FFFFFF"/>
          <w:lang w:val="en-US" w:eastAsia="zh-CN" w:bidi="ar"/>
        </w:rPr>
        <w:t>年</w:t>
      </w:r>
      <w:r>
        <w:rPr>
          <w:rFonts w:hint="eastAsia" w:ascii="宋体" w:hAnsi="宋体" w:cs="宋体"/>
          <w:b w:val="0"/>
          <w:bCs/>
          <w:i w:val="0"/>
          <w:caps w:val="0"/>
          <w:color w:val="auto"/>
          <w:spacing w:val="0"/>
          <w:kern w:val="0"/>
          <w:sz w:val="24"/>
          <w:szCs w:val="24"/>
          <w:u w:val="single"/>
          <w:shd w:val="clear" w:color="auto" w:fill="FFFFFF"/>
          <w:lang w:val="en-US" w:eastAsia="zh-CN" w:bidi="ar"/>
        </w:rPr>
        <w:t>6</w:t>
      </w:r>
      <w:r>
        <w:rPr>
          <w:rFonts w:hint="eastAsia" w:ascii="宋体" w:hAnsi="宋体" w:cs="宋体"/>
          <w:b w:val="0"/>
          <w:bCs/>
          <w:i w:val="0"/>
          <w:caps w:val="0"/>
          <w:color w:val="auto"/>
          <w:spacing w:val="0"/>
          <w:kern w:val="0"/>
          <w:sz w:val="24"/>
          <w:szCs w:val="24"/>
          <w:u w:val="none"/>
          <w:shd w:val="clear" w:color="auto" w:fill="FFFFFF"/>
          <w:lang w:val="en-US" w:eastAsia="zh-CN" w:bidi="ar"/>
        </w:rPr>
        <w:t>月</w:t>
      </w:r>
      <w:r>
        <w:rPr>
          <w:rFonts w:hint="eastAsia" w:ascii="宋体" w:hAnsi="宋体" w:cs="宋体"/>
          <w:b w:val="0"/>
          <w:bCs/>
          <w:i w:val="0"/>
          <w:caps w:val="0"/>
          <w:color w:val="auto"/>
          <w:spacing w:val="0"/>
          <w:kern w:val="0"/>
          <w:sz w:val="24"/>
          <w:szCs w:val="24"/>
          <w:u w:val="single"/>
          <w:shd w:val="clear" w:color="auto" w:fill="FFFFFF"/>
          <w:lang w:val="en-US" w:eastAsia="zh-CN" w:bidi="ar"/>
        </w:rPr>
        <w:t>11</w:t>
      </w:r>
      <w:r>
        <w:rPr>
          <w:rFonts w:hint="eastAsia" w:ascii="宋体" w:hAnsi="宋体" w:cs="宋体"/>
          <w:b w:val="0"/>
          <w:bCs/>
          <w:i w:val="0"/>
          <w:caps w:val="0"/>
          <w:color w:val="auto"/>
          <w:spacing w:val="0"/>
          <w:kern w:val="0"/>
          <w:sz w:val="24"/>
          <w:szCs w:val="24"/>
          <w:u w:val="none"/>
          <w:shd w:val="clear" w:color="auto" w:fill="FFFFFF"/>
          <w:lang w:val="en-US" w:eastAsia="zh-CN" w:bidi="ar"/>
        </w:rPr>
        <w:t>日下午</w:t>
      </w:r>
      <w:r>
        <w:rPr>
          <w:rFonts w:hint="eastAsia" w:ascii="宋体" w:hAnsi="宋体" w:cs="宋体"/>
          <w:b w:val="0"/>
          <w:bCs/>
          <w:i w:val="0"/>
          <w:caps w:val="0"/>
          <w:color w:val="auto"/>
          <w:spacing w:val="0"/>
          <w:kern w:val="0"/>
          <w:sz w:val="24"/>
          <w:szCs w:val="24"/>
          <w:u w:val="single"/>
          <w:shd w:val="clear" w:color="auto" w:fill="FFFFFF"/>
          <w:lang w:val="en-US" w:eastAsia="zh-CN" w:bidi="ar"/>
        </w:rPr>
        <w:t>16</w:t>
      </w:r>
      <w:r>
        <w:rPr>
          <w:rFonts w:hint="eastAsia" w:ascii="宋体" w:hAnsi="宋体" w:cs="宋体"/>
          <w:b w:val="0"/>
          <w:bCs/>
          <w:i w:val="0"/>
          <w:caps w:val="0"/>
          <w:color w:val="auto"/>
          <w:spacing w:val="0"/>
          <w:kern w:val="0"/>
          <w:sz w:val="24"/>
          <w:szCs w:val="24"/>
          <w:u w:val="none"/>
          <w:shd w:val="clear" w:color="auto" w:fill="FFFFFF"/>
          <w:lang w:val="en-US" w:eastAsia="zh-CN" w:bidi="ar"/>
        </w:rPr>
        <w:t>时</w:t>
      </w:r>
      <w:r>
        <w:rPr>
          <w:rFonts w:hint="eastAsia" w:ascii="宋体" w:hAnsi="宋体" w:cs="宋体"/>
          <w:b w:val="0"/>
          <w:bCs/>
          <w:i w:val="0"/>
          <w:caps w:val="0"/>
          <w:color w:val="auto"/>
          <w:spacing w:val="0"/>
          <w:kern w:val="0"/>
          <w:sz w:val="24"/>
          <w:szCs w:val="24"/>
          <w:u w:val="single"/>
          <w:shd w:val="clear" w:color="auto" w:fill="FFFFFF"/>
          <w:lang w:val="en-US" w:eastAsia="zh-CN" w:bidi="ar"/>
        </w:rPr>
        <w:t>00</w:t>
      </w:r>
      <w:r>
        <w:rPr>
          <w:rFonts w:hint="eastAsia" w:ascii="宋体" w:hAnsi="宋体" w:cs="宋体"/>
          <w:b w:val="0"/>
          <w:bCs/>
          <w:i w:val="0"/>
          <w:caps w:val="0"/>
          <w:color w:val="auto"/>
          <w:spacing w:val="0"/>
          <w:kern w:val="0"/>
          <w:sz w:val="24"/>
          <w:szCs w:val="24"/>
          <w:u w:val="none"/>
          <w:shd w:val="clear" w:color="auto" w:fill="FFFFFF"/>
          <w:lang w:val="en-US" w:eastAsia="zh-CN" w:bidi="ar"/>
        </w:rPr>
        <w:t>分</w:t>
      </w:r>
      <w:r>
        <w:rPr>
          <w:rFonts w:hint="eastAsia" w:ascii="宋体" w:hAnsi="宋体" w:eastAsia="宋体" w:cs="宋体"/>
          <w:color w:val="auto"/>
          <w:sz w:val="24"/>
          <w:szCs w:val="24"/>
          <w:highlight w:val="none"/>
          <w:u w:val="none"/>
          <w:lang w:val="en-US" w:eastAsia="zh-CN"/>
        </w:rPr>
        <w:t>（北京时间</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p>
    <w:p w14:paraId="429F17EE">
      <w:pPr>
        <w:pageBreakBefore w:val="0"/>
        <w:kinsoku/>
        <w:wordWrap/>
        <w:overflowPunct/>
        <w:topLinePunct w:val="0"/>
        <w:bidi w:val="0"/>
        <w:snapToGrid/>
        <w:spacing w:line="360" w:lineRule="auto"/>
        <w:ind w:firstLine="480" w:firstLineChars="200"/>
        <w:textAlignment w:val="auto"/>
        <w:rPr>
          <w:rFonts w:hint="eastAsia" w:ascii="宋体" w:hAnsi="宋体" w:eastAsia="宋体" w:cs="宋体"/>
          <w:bCs/>
          <w:sz w:val="24"/>
          <w:szCs w:val="24"/>
          <w:highlight w:val="none"/>
          <w:u w:val="single"/>
        </w:rPr>
      </w:pPr>
      <w:r>
        <w:rPr>
          <w:rFonts w:hint="eastAsia" w:ascii="宋体" w:hAnsi="宋体" w:eastAsia="宋体" w:cs="宋体"/>
          <w:sz w:val="24"/>
          <w:szCs w:val="24"/>
          <w:highlight w:val="none"/>
        </w:rPr>
        <w:t>地点：</w:t>
      </w:r>
      <w:r>
        <w:rPr>
          <w:rFonts w:hint="eastAsia" w:ascii="宋体" w:hAnsi="宋体"/>
          <w:color w:val="000000"/>
          <w:kern w:val="2"/>
          <w:sz w:val="24"/>
          <w:szCs w:val="24"/>
        </w:rPr>
        <w:t>红河州第二人民医院行政办公区</w:t>
      </w:r>
      <w:r>
        <w:rPr>
          <w:rFonts w:hint="eastAsia" w:ascii="宋体" w:hAnsi="宋体"/>
          <w:color w:val="000000"/>
          <w:kern w:val="2"/>
          <w:sz w:val="24"/>
          <w:szCs w:val="24"/>
          <w:lang w:val="en-US" w:eastAsia="zh-CN"/>
        </w:rPr>
        <w:t>小会议</w:t>
      </w:r>
      <w:r>
        <w:rPr>
          <w:rFonts w:hint="eastAsia" w:ascii="宋体" w:hAnsi="宋体"/>
          <w:color w:val="000000"/>
          <w:kern w:val="2"/>
          <w:sz w:val="24"/>
          <w:szCs w:val="24"/>
        </w:rPr>
        <w:t>室</w:t>
      </w:r>
    </w:p>
    <w:p w14:paraId="45C26275">
      <w:pPr>
        <w:bidi w:val="0"/>
        <w:rPr>
          <w:rFonts w:hint="eastAsia" w:asciiTheme="minorEastAsia" w:hAnsiTheme="minorEastAsia" w:eastAsiaTheme="minorEastAsia" w:cstheme="minorEastAsia"/>
          <w:b/>
          <w:bCs/>
          <w:sz w:val="28"/>
          <w:szCs w:val="28"/>
          <w:lang w:val="en-US" w:eastAsia="zh-CN"/>
        </w:rPr>
      </w:pPr>
      <w:bookmarkStart w:id="33" w:name="_Toc35393634"/>
      <w:bookmarkStart w:id="34" w:name="_Toc28359094"/>
      <w:bookmarkStart w:id="35" w:name="_Toc35393803"/>
      <w:bookmarkStart w:id="36" w:name="_Toc28359017"/>
      <w:r>
        <w:rPr>
          <w:rFonts w:hint="eastAsia" w:asciiTheme="minorEastAsia" w:hAnsiTheme="minorEastAsia" w:eastAsiaTheme="minorEastAsia" w:cstheme="minorEastAsia"/>
          <w:b/>
          <w:bCs/>
          <w:sz w:val="28"/>
          <w:szCs w:val="28"/>
          <w:lang w:val="en-US" w:eastAsia="zh-CN"/>
        </w:rPr>
        <w:t>7、公告期限</w:t>
      </w:r>
      <w:bookmarkEnd w:id="33"/>
      <w:bookmarkEnd w:id="34"/>
      <w:bookmarkEnd w:id="35"/>
      <w:bookmarkEnd w:id="36"/>
    </w:p>
    <w:p w14:paraId="4A9C2BBA">
      <w:pPr>
        <w:pageBreakBefore w:val="0"/>
        <w:kinsoku/>
        <w:wordWrap/>
        <w:overflowPunct/>
        <w:topLinePunct w:val="0"/>
        <w:bidi w:val="0"/>
        <w:snapToGrid/>
        <w:spacing w:line="312"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lang w:eastAsia="zh-CN"/>
        </w:rPr>
        <w:t>自本公告发布生效之日起</w:t>
      </w:r>
      <w:r>
        <w:rPr>
          <w:rFonts w:hint="eastAsia" w:ascii="宋体" w:hAnsi="宋体" w:cs="宋体"/>
          <w:color w:val="auto"/>
          <w:kern w:val="0"/>
          <w:sz w:val="24"/>
          <w:szCs w:val="24"/>
          <w:highlight w:val="none"/>
          <w:lang w:val="en-US" w:eastAsia="zh-CN"/>
        </w:rPr>
        <w:t>3</w:t>
      </w:r>
      <w:r>
        <w:rPr>
          <w:rFonts w:hint="eastAsia" w:ascii="宋体" w:hAnsi="宋体" w:cs="宋体"/>
          <w:color w:val="auto"/>
          <w:kern w:val="0"/>
          <w:sz w:val="24"/>
          <w:szCs w:val="24"/>
          <w:highlight w:val="none"/>
          <w:lang w:eastAsia="zh-CN"/>
        </w:rPr>
        <w:t>个工作日</w:t>
      </w:r>
      <w:r>
        <w:rPr>
          <w:rFonts w:hint="eastAsia" w:ascii="宋体" w:hAnsi="宋体" w:eastAsia="宋体" w:cs="宋体"/>
          <w:color w:val="auto"/>
          <w:kern w:val="0"/>
          <w:sz w:val="24"/>
          <w:szCs w:val="24"/>
          <w:highlight w:val="none"/>
        </w:rPr>
        <w:t>。</w:t>
      </w:r>
    </w:p>
    <w:p w14:paraId="4F312402">
      <w:pPr>
        <w:bidi w:val="0"/>
        <w:rPr>
          <w:rFonts w:hint="eastAsia" w:asciiTheme="minorEastAsia" w:hAnsiTheme="minorEastAsia" w:eastAsiaTheme="minorEastAsia" w:cstheme="minorEastAsia"/>
          <w:b/>
          <w:bCs/>
          <w:sz w:val="28"/>
          <w:szCs w:val="28"/>
          <w:lang w:val="en-US" w:eastAsia="zh-CN"/>
        </w:rPr>
      </w:pPr>
      <w:bookmarkStart w:id="37" w:name="_Toc35393804"/>
      <w:bookmarkStart w:id="38" w:name="_Toc35393635"/>
      <w:r>
        <w:rPr>
          <w:rFonts w:hint="eastAsia" w:asciiTheme="minorEastAsia" w:hAnsiTheme="minorEastAsia" w:eastAsiaTheme="minorEastAsia" w:cstheme="minorEastAsia"/>
          <w:b/>
          <w:bCs/>
          <w:sz w:val="28"/>
          <w:szCs w:val="28"/>
          <w:lang w:val="en-US" w:eastAsia="zh-CN"/>
        </w:rPr>
        <w:t>8、其他补充事宜</w:t>
      </w:r>
      <w:bookmarkEnd w:id="37"/>
      <w:bookmarkEnd w:id="38"/>
    </w:p>
    <w:p w14:paraId="3A5AB82A">
      <w:pPr>
        <w:pageBreakBefore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sz w:val="24"/>
          <w:szCs w:val="24"/>
          <w:highlight w:val="none"/>
          <w:u w:val="none"/>
          <w:lang w:val="en-US" w:eastAsia="zh-CN"/>
        </w:rPr>
        <w:t>本项目公告在</w:t>
      </w:r>
      <w:r>
        <w:rPr>
          <w:rFonts w:hint="eastAsia" w:ascii="宋体" w:hAnsi="宋体" w:cs="宋体"/>
          <w:sz w:val="24"/>
          <w:szCs w:val="24"/>
          <w:highlight w:val="none"/>
          <w:u w:val="none"/>
          <w:lang w:val="en-US" w:eastAsia="zh-CN"/>
        </w:rPr>
        <w:t>红河州</w:t>
      </w:r>
      <w:r>
        <w:rPr>
          <w:rFonts w:hint="eastAsia" w:ascii="宋体" w:hAnsi="宋体" w:cs="宋体"/>
          <w:color w:val="auto"/>
          <w:sz w:val="24"/>
          <w:szCs w:val="24"/>
          <w:highlight w:val="none"/>
          <w:u w:val="none"/>
          <w:lang w:val="en-US" w:eastAsia="zh-CN"/>
        </w:rPr>
        <w:t>第二人民医院官方网站</w:t>
      </w:r>
      <w:r>
        <w:rPr>
          <w:rFonts w:hint="eastAsia" w:ascii="宋体" w:hAnsi="宋体" w:eastAsia="宋体" w:cs="宋体"/>
          <w:color w:val="auto"/>
          <w:sz w:val="24"/>
          <w:szCs w:val="24"/>
          <w:highlight w:val="none"/>
          <w:u w:val="none"/>
          <w:lang w:val="en-US" w:eastAsia="zh-CN"/>
        </w:rPr>
        <w:t>上发布，采购人对其他网站或媒体转载的公告及公告内容不承担任何责任。</w:t>
      </w:r>
    </w:p>
    <w:p w14:paraId="7D092347">
      <w:pPr>
        <w:bidi w:val="0"/>
        <w:rPr>
          <w:rFonts w:hint="eastAsia" w:ascii="宋体" w:hAnsi="宋体" w:eastAsia="宋体" w:cs="宋体"/>
          <w:i w:val="0"/>
          <w:iCs w:val="0"/>
          <w:color w:val="auto"/>
          <w:sz w:val="28"/>
          <w:szCs w:val="28"/>
          <w:highlight w:val="none"/>
          <w:lang w:val="en-US" w:eastAsia="zh-CN"/>
        </w:rPr>
      </w:pPr>
      <w:bookmarkStart w:id="39" w:name="_Toc35393636"/>
      <w:bookmarkStart w:id="40" w:name="_Toc35393805"/>
      <w:bookmarkStart w:id="41" w:name="_Toc28359095"/>
      <w:bookmarkStart w:id="42" w:name="_Toc28359018"/>
      <w:r>
        <w:rPr>
          <w:rFonts w:hint="eastAsia" w:asciiTheme="minorEastAsia" w:hAnsiTheme="minorEastAsia" w:eastAsiaTheme="minorEastAsia" w:cstheme="minorEastAsia"/>
          <w:b/>
          <w:bCs/>
          <w:sz w:val="28"/>
          <w:szCs w:val="28"/>
          <w:lang w:val="en-US" w:eastAsia="zh-CN"/>
        </w:rPr>
        <w:t>9、凡对本次采购提出询问，请按以下方式联系。</w:t>
      </w:r>
      <w:bookmarkEnd w:id="39"/>
      <w:bookmarkEnd w:id="40"/>
      <w:bookmarkEnd w:id="41"/>
      <w:bookmarkEnd w:id="42"/>
    </w:p>
    <w:p w14:paraId="7CEE3444">
      <w:pPr>
        <w:bidi w:val="0"/>
        <w:ind w:firstLine="480" w:firstLineChars="200"/>
        <w:rPr>
          <w:rFonts w:hint="eastAsia" w:asciiTheme="minorEastAsia" w:hAnsiTheme="minorEastAsia" w:eastAsiaTheme="minorEastAsia" w:cstheme="minorEastAsia"/>
          <w:b w:val="0"/>
          <w:bCs w:val="0"/>
          <w:sz w:val="24"/>
          <w:szCs w:val="24"/>
          <w:lang w:val="en-US" w:eastAsia="zh-CN"/>
        </w:rPr>
      </w:pPr>
      <w:bookmarkStart w:id="43" w:name="_Toc28359019"/>
      <w:bookmarkStart w:id="44" w:name="_Toc35393637"/>
      <w:bookmarkStart w:id="45" w:name="_Toc28359096"/>
      <w:bookmarkStart w:id="46" w:name="_Toc35393806"/>
      <w:r>
        <w:rPr>
          <w:rFonts w:hint="eastAsia" w:asciiTheme="minorEastAsia" w:hAnsiTheme="minorEastAsia" w:cstheme="minorEastAsia"/>
          <w:b w:val="0"/>
          <w:bCs w:val="0"/>
          <w:sz w:val="24"/>
          <w:szCs w:val="24"/>
          <w:lang w:val="en-US" w:eastAsia="zh-CN"/>
        </w:rPr>
        <w:t>9.</w:t>
      </w:r>
      <w:r>
        <w:rPr>
          <w:rFonts w:hint="eastAsia" w:asciiTheme="minorEastAsia" w:hAnsiTheme="minorEastAsia" w:eastAsiaTheme="minorEastAsia" w:cstheme="minorEastAsia"/>
          <w:b w:val="0"/>
          <w:bCs w:val="0"/>
          <w:sz w:val="24"/>
          <w:szCs w:val="24"/>
          <w:lang w:val="en-US" w:eastAsia="zh-CN"/>
        </w:rPr>
        <w:t>1.采购人信息</w:t>
      </w:r>
      <w:bookmarkEnd w:id="43"/>
      <w:bookmarkEnd w:id="44"/>
      <w:bookmarkEnd w:id="45"/>
      <w:bookmarkEnd w:id="46"/>
    </w:p>
    <w:p w14:paraId="42E0A438">
      <w:pPr>
        <w:pageBreakBefore w:val="0"/>
        <w:widowControl w:val="0"/>
        <w:kinsoku/>
        <w:wordWrap/>
        <w:overflowPunct/>
        <w:topLinePunct w:val="0"/>
        <w:bidi w:val="0"/>
        <w:snapToGrid/>
        <w:spacing w:line="312" w:lineRule="auto"/>
        <w:ind w:firstLine="480" w:firstLineChars="200"/>
        <w:textAlignment w:val="auto"/>
        <w:rPr>
          <w:rFonts w:hint="default" w:ascii="宋体" w:hAnsi="宋体" w:eastAsia="宋体" w:cs="宋体"/>
          <w:b w:val="0"/>
          <w:bCs w:val="0"/>
          <w:kern w:val="0"/>
          <w:sz w:val="24"/>
          <w:szCs w:val="24"/>
          <w:highlight w:val="none"/>
          <w:lang w:val="en-US" w:eastAsia="zh-CN"/>
        </w:rPr>
      </w:pPr>
      <w:r>
        <w:rPr>
          <w:rFonts w:hint="eastAsia" w:ascii="宋体" w:hAnsi="宋体" w:eastAsia="宋体" w:cs="宋体"/>
          <w:b w:val="0"/>
          <w:bCs w:val="0"/>
          <w:kern w:val="0"/>
          <w:sz w:val="24"/>
          <w:szCs w:val="24"/>
          <w:highlight w:val="none"/>
        </w:rPr>
        <w:t>名    称</w:t>
      </w:r>
      <w:r>
        <w:rPr>
          <w:rFonts w:hint="eastAsia" w:ascii="宋体" w:hAnsi="宋体" w:eastAsia="宋体" w:cs="宋体"/>
          <w:b w:val="0"/>
          <w:bCs w:val="0"/>
          <w:kern w:val="0"/>
          <w:sz w:val="24"/>
          <w:szCs w:val="24"/>
          <w:highlight w:val="none"/>
          <w:lang w:eastAsia="zh-CN"/>
        </w:rPr>
        <w:t>：</w:t>
      </w:r>
      <w:r>
        <w:rPr>
          <w:rFonts w:hint="eastAsia" w:ascii="宋体" w:hAnsi="宋体" w:cs="宋体"/>
          <w:b w:val="0"/>
          <w:bCs w:val="0"/>
          <w:kern w:val="0"/>
          <w:sz w:val="24"/>
          <w:szCs w:val="24"/>
          <w:highlight w:val="none"/>
          <w:lang w:val="en-US" w:eastAsia="zh-CN"/>
        </w:rPr>
        <w:t>红河州第二人民医院</w:t>
      </w:r>
    </w:p>
    <w:p w14:paraId="4316621A">
      <w:pPr>
        <w:pageBreakBefore w:val="0"/>
        <w:widowControl w:val="0"/>
        <w:kinsoku/>
        <w:wordWrap/>
        <w:overflowPunct/>
        <w:topLinePunct w:val="0"/>
        <w:bidi w:val="0"/>
        <w:snapToGrid/>
        <w:spacing w:line="312" w:lineRule="auto"/>
        <w:ind w:firstLine="480" w:firstLineChars="200"/>
        <w:textAlignment w:val="auto"/>
        <w:rPr>
          <w:rFonts w:hint="default" w:ascii="宋体" w:hAnsi="宋体" w:eastAsia="宋体" w:cs="宋体"/>
          <w:b w:val="0"/>
          <w:bCs w:val="0"/>
          <w:color w:val="auto"/>
          <w:kern w:val="0"/>
          <w:sz w:val="24"/>
          <w:szCs w:val="24"/>
          <w:highlight w:val="none"/>
          <w:lang w:val="en-US"/>
        </w:rPr>
      </w:pPr>
      <w:r>
        <w:rPr>
          <w:rFonts w:hint="eastAsia" w:ascii="宋体" w:hAnsi="宋体" w:eastAsia="宋体" w:cs="宋体"/>
          <w:b w:val="0"/>
          <w:bCs w:val="0"/>
          <w:color w:val="auto"/>
          <w:kern w:val="0"/>
          <w:sz w:val="24"/>
          <w:szCs w:val="24"/>
          <w:highlight w:val="none"/>
        </w:rPr>
        <w:t>地    址</w:t>
      </w:r>
      <w:r>
        <w:rPr>
          <w:rFonts w:hint="eastAsia" w:ascii="宋体" w:hAnsi="宋体" w:cs="宋体"/>
          <w:b w:val="0"/>
          <w:bCs w:val="0"/>
          <w:color w:val="auto"/>
          <w:kern w:val="0"/>
          <w:sz w:val="24"/>
          <w:szCs w:val="24"/>
          <w:highlight w:val="none"/>
          <w:lang w:eastAsia="zh-CN"/>
        </w:rPr>
        <w:t>：建水县临安镇泽园路</w:t>
      </w:r>
      <w:r>
        <w:rPr>
          <w:rFonts w:hint="eastAsia" w:ascii="宋体" w:hAnsi="宋体" w:cs="宋体"/>
          <w:b w:val="0"/>
          <w:bCs w:val="0"/>
          <w:color w:val="auto"/>
          <w:kern w:val="0"/>
          <w:sz w:val="24"/>
          <w:szCs w:val="24"/>
          <w:highlight w:val="none"/>
          <w:lang w:val="en-US" w:eastAsia="zh-CN"/>
        </w:rPr>
        <w:t>28号</w:t>
      </w:r>
    </w:p>
    <w:p w14:paraId="1AA015BD">
      <w:pPr>
        <w:bidi w:val="0"/>
        <w:ind w:firstLine="480" w:firstLineChars="200"/>
        <w:rPr>
          <w:rFonts w:hint="eastAsia" w:asciiTheme="minorEastAsia" w:hAnsiTheme="minorEastAsia" w:eastAsiaTheme="minorEastAsia" w:cstheme="minorEastAsia"/>
          <w:b w:val="0"/>
          <w:bCs w:val="0"/>
          <w:sz w:val="24"/>
          <w:szCs w:val="24"/>
          <w:lang w:val="en-US" w:eastAsia="zh-CN"/>
        </w:rPr>
      </w:pPr>
      <w:bookmarkStart w:id="47" w:name="_Toc28359098"/>
      <w:bookmarkStart w:id="48" w:name="_Toc35393808"/>
      <w:bookmarkStart w:id="49" w:name="_Toc35393639"/>
      <w:bookmarkStart w:id="50" w:name="_Toc28359021"/>
      <w:r>
        <w:rPr>
          <w:rFonts w:hint="eastAsia" w:asciiTheme="minorEastAsia" w:hAnsiTheme="minorEastAsia" w:cstheme="minorEastAsia"/>
          <w:b w:val="0"/>
          <w:bCs w:val="0"/>
          <w:sz w:val="24"/>
          <w:szCs w:val="24"/>
          <w:lang w:val="en-US" w:eastAsia="zh-CN"/>
        </w:rPr>
        <w:t>9.</w:t>
      </w:r>
      <w:r>
        <w:rPr>
          <w:rFonts w:hint="eastAsia" w:asciiTheme="minorEastAsia" w:hAnsiTheme="minorEastAsia" w:eastAsiaTheme="minorEastAsia" w:cstheme="minorEastAsia"/>
          <w:b w:val="0"/>
          <w:bCs w:val="0"/>
          <w:sz w:val="24"/>
          <w:szCs w:val="24"/>
          <w:lang w:val="en-US" w:eastAsia="zh-CN"/>
        </w:rPr>
        <w:t>2.项目联系方式</w:t>
      </w:r>
      <w:bookmarkEnd w:id="47"/>
      <w:bookmarkEnd w:id="48"/>
      <w:bookmarkEnd w:id="49"/>
      <w:bookmarkEnd w:id="50"/>
    </w:p>
    <w:p w14:paraId="25EA5141">
      <w:pPr>
        <w:pStyle w:val="23"/>
        <w:pageBreakBefore w:val="0"/>
        <w:widowControl w:val="0"/>
        <w:kinsoku/>
        <w:wordWrap/>
        <w:overflowPunct/>
        <w:topLinePunct w:val="0"/>
        <w:bidi w:val="0"/>
        <w:snapToGrid/>
        <w:spacing w:after="0" w:afterLines="0" w:line="312" w:lineRule="auto"/>
        <w:ind w:firstLine="480" w:firstLineChars="200"/>
        <w:textAlignment w:val="auto"/>
        <w:rPr>
          <w:rFonts w:hint="eastAsia" w:hAnsi="宋体" w:eastAsia="宋体" w:cs="宋体"/>
          <w:color w:val="auto"/>
          <w:sz w:val="24"/>
          <w:szCs w:val="24"/>
          <w:lang w:val="en-US" w:eastAsia="zh-CN"/>
        </w:rPr>
      </w:pPr>
      <w:r>
        <w:rPr>
          <w:rFonts w:hint="eastAsia" w:ascii="宋体" w:hAnsi="宋体" w:eastAsia="宋体" w:cs="宋体"/>
          <w:color w:val="auto"/>
          <w:sz w:val="24"/>
          <w:szCs w:val="24"/>
          <w:highlight w:val="none"/>
        </w:rPr>
        <w:t>项目联系人：</w:t>
      </w:r>
      <w:r>
        <w:rPr>
          <w:rFonts w:hint="eastAsia" w:hAnsi="宋体" w:cs="宋体"/>
          <w:color w:val="auto"/>
          <w:sz w:val="24"/>
          <w:szCs w:val="24"/>
          <w:highlight w:val="none"/>
          <w:lang w:eastAsia="zh-CN"/>
        </w:rPr>
        <w:t>李文昌</w:t>
      </w:r>
    </w:p>
    <w:p w14:paraId="3E7E7D43">
      <w:pPr>
        <w:pageBreakBefore w:val="0"/>
        <w:widowControl w:val="0"/>
        <w:kinsoku/>
        <w:wordWrap/>
        <w:overflowPunct/>
        <w:topLinePunct w:val="0"/>
        <w:bidi w:val="0"/>
        <w:snapToGrid/>
        <w:spacing w:line="312" w:lineRule="auto"/>
        <w:ind w:firstLine="480" w:firstLineChars="200"/>
        <w:textAlignment w:val="auto"/>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sz w:val="24"/>
          <w:szCs w:val="24"/>
          <w:highlight w:val="none"/>
        </w:rPr>
        <w:t>电　　 话：</w:t>
      </w:r>
      <w:r>
        <w:rPr>
          <w:rFonts w:hint="eastAsia" w:ascii="宋体" w:hAnsi="宋体" w:cs="宋体"/>
          <w:color w:val="auto"/>
          <w:sz w:val="24"/>
          <w:szCs w:val="24"/>
          <w:highlight w:val="none"/>
          <w:lang w:val="en-US" w:eastAsia="zh-CN"/>
        </w:rPr>
        <w:t>0873-7781496</w:t>
      </w:r>
    </w:p>
    <w:p w14:paraId="46CDF2BB">
      <w:pPr>
        <w:rPr>
          <w:rFonts w:ascii="宋体" w:hAnsi="宋体" w:cs="宋体"/>
          <w:i w:val="0"/>
          <w:iCs w:val="0"/>
          <w:color w:val="auto"/>
          <w:highlight w:val="none"/>
        </w:rPr>
      </w:pPr>
      <w:r>
        <w:rPr>
          <w:rFonts w:ascii="宋体" w:hAnsi="宋体" w:cs="宋体"/>
          <w:i w:val="0"/>
          <w:iCs w:val="0"/>
          <w:color w:val="auto"/>
          <w:highlight w:val="none"/>
        </w:rPr>
        <w:br w:type="page"/>
      </w:r>
    </w:p>
    <w:p w14:paraId="16F7F55A">
      <w:pPr>
        <w:pStyle w:val="46"/>
      </w:pPr>
    </w:p>
    <w:p w14:paraId="618A1E2D">
      <w:pPr>
        <w:pStyle w:val="2"/>
        <w:spacing w:before="0" w:after="0" w:line="360" w:lineRule="auto"/>
        <w:jc w:val="center"/>
        <w:rPr>
          <w:rFonts w:ascii="宋体" w:hAnsi="宋体" w:cs="宋体"/>
          <w:i w:val="0"/>
          <w:iCs w:val="0"/>
          <w:color w:val="auto"/>
          <w:highlight w:val="none"/>
        </w:rPr>
      </w:pPr>
      <w:bookmarkStart w:id="51" w:name="_Toc31"/>
      <w:r>
        <w:rPr>
          <w:rFonts w:hint="eastAsia" w:ascii="宋体" w:hAnsi="宋体" w:cs="宋体"/>
          <w:i w:val="0"/>
          <w:iCs w:val="0"/>
          <w:color w:val="auto"/>
          <w:highlight w:val="none"/>
        </w:rPr>
        <w:t>第二章 投标人须知</w:t>
      </w:r>
      <w:bookmarkEnd w:id="28"/>
      <w:bookmarkEnd w:id="51"/>
    </w:p>
    <w:p w14:paraId="3B31FEE5">
      <w:pPr>
        <w:bidi w:val="0"/>
        <w:jc w:val="center"/>
        <w:rPr>
          <w:b/>
          <w:bCs/>
          <w:sz w:val="28"/>
          <w:szCs w:val="28"/>
        </w:rPr>
      </w:pPr>
      <w:bookmarkStart w:id="52" w:name="_Toc21714"/>
      <w:bookmarkEnd w:id="52"/>
      <w:bookmarkStart w:id="53" w:name="_Toc13590"/>
      <w:bookmarkEnd w:id="53"/>
      <w:bookmarkStart w:id="54" w:name="_Toc29441"/>
      <w:bookmarkStart w:id="55" w:name="_Toc26144"/>
      <w:bookmarkStart w:id="56" w:name="_Toc30910"/>
      <w:r>
        <w:rPr>
          <w:rFonts w:hint="eastAsia"/>
          <w:b/>
          <w:bCs/>
          <w:sz w:val="28"/>
          <w:szCs w:val="28"/>
        </w:rPr>
        <w:t>投标人须知前附表</w:t>
      </w:r>
      <w:bookmarkEnd w:id="54"/>
      <w:bookmarkEnd w:id="55"/>
      <w:bookmarkEnd w:id="56"/>
    </w:p>
    <w:p w14:paraId="617BDBDE">
      <w:pPr>
        <w:spacing w:line="200" w:lineRule="exact"/>
        <w:rPr>
          <w:rFonts w:ascii="宋体" w:hAnsi="宋体" w:cs="宋体"/>
          <w:i w:val="0"/>
          <w:iCs w:val="0"/>
          <w:color w:val="auto"/>
          <w:highlight w:val="none"/>
        </w:rPr>
      </w:pPr>
      <w:r>
        <w:rPr>
          <w:rFonts w:hint="eastAsia" w:ascii="宋体" w:hAnsi="宋体" w:cs="宋体"/>
          <w:i w:val="0"/>
          <w:iCs w:val="0"/>
          <w:color w:val="auto"/>
          <w:highlight w:val="none"/>
        </w:rPr>
        <w:t xml:space="preserve"> </w:t>
      </w:r>
    </w:p>
    <w:tbl>
      <w:tblPr>
        <w:tblStyle w:val="47"/>
        <w:tblW w:w="9882" w:type="dxa"/>
        <w:jc w:val="center"/>
        <w:tblLayout w:type="fixed"/>
        <w:tblCellMar>
          <w:top w:w="0" w:type="dxa"/>
          <w:left w:w="0" w:type="dxa"/>
          <w:bottom w:w="0" w:type="dxa"/>
          <w:right w:w="0" w:type="dxa"/>
        </w:tblCellMar>
      </w:tblPr>
      <w:tblGrid>
        <w:gridCol w:w="1059"/>
        <w:gridCol w:w="2024"/>
        <w:gridCol w:w="6799"/>
      </w:tblGrid>
      <w:tr w14:paraId="7199F680">
        <w:tblPrEx>
          <w:tblCellMar>
            <w:top w:w="0" w:type="dxa"/>
            <w:left w:w="0" w:type="dxa"/>
            <w:bottom w:w="0" w:type="dxa"/>
            <w:right w:w="0" w:type="dxa"/>
          </w:tblCellMar>
        </w:tblPrEx>
        <w:trPr>
          <w:trHeight w:val="397" w:hRule="atLeast"/>
          <w:tblHeader/>
          <w:jc w:val="center"/>
        </w:trPr>
        <w:tc>
          <w:tcPr>
            <w:tcW w:w="1059" w:type="dxa"/>
            <w:tcBorders>
              <w:top w:val="single" w:color="auto" w:sz="8" w:space="0"/>
              <w:left w:val="single" w:color="auto" w:sz="8" w:space="0"/>
              <w:bottom w:val="single" w:color="auto" w:sz="8" w:space="0"/>
              <w:right w:val="single" w:color="auto" w:sz="8" w:space="0"/>
            </w:tcBorders>
            <w:vAlign w:val="center"/>
          </w:tcPr>
          <w:p w14:paraId="215DA7BA">
            <w:pPr>
              <w:spacing w:line="420" w:lineRule="exact"/>
              <w:jc w:val="center"/>
              <w:rPr>
                <w:rFonts w:ascii="宋体" w:hAnsi="宋体" w:cs="宋体"/>
                <w:b/>
                <w:bCs/>
                <w:i w:val="0"/>
                <w:iCs w:val="0"/>
                <w:color w:val="auto"/>
                <w:kern w:val="2"/>
                <w:sz w:val="24"/>
                <w:szCs w:val="24"/>
                <w:highlight w:val="none"/>
              </w:rPr>
            </w:pPr>
            <w:r>
              <w:rPr>
                <w:rFonts w:hint="eastAsia" w:ascii="宋体" w:hAnsi="宋体" w:cs="宋体"/>
                <w:b/>
                <w:bCs/>
                <w:i w:val="0"/>
                <w:iCs w:val="0"/>
                <w:color w:val="auto"/>
                <w:kern w:val="2"/>
                <w:sz w:val="24"/>
                <w:szCs w:val="24"/>
                <w:highlight w:val="none"/>
              </w:rPr>
              <w:t>条款号</w:t>
            </w:r>
          </w:p>
        </w:tc>
        <w:tc>
          <w:tcPr>
            <w:tcW w:w="2024" w:type="dxa"/>
            <w:tcBorders>
              <w:top w:val="single" w:color="auto" w:sz="8" w:space="0"/>
              <w:left w:val="nil"/>
              <w:bottom w:val="single" w:color="auto" w:sz="8" w:space="0"/>
              <w:right w:val="single" w:color="auto" w:sz="8" w:space="0"/>
            </w:tcBorders>
            <w:vAlign w:val="bottom"/>
          </w:tcPr>
          <w:p w14:paraId="0DE3AB0A">
            <w:pPr>
              <w:spacing w:line="420" w:lineRule="exact"/>
              <w:jc w:val="center"/>
              <w:rPr>
                <w:rFonts w:ascii="宋体" w:hAnsi="宋体" w:cs="宋体"/>
                <w:b/>
                <w:bCs/>
                <w:i w:val="0"/>
                <w:iCs w:val="0"/>
                <w:color w:val="auto"/>
                <w:kern w:val="2"/>
                <w:sz w:val="24"/>
                <w:szCs w:val="24"/>
                <w:highlight w:val="none"/>
              </w:rPr>
            </w:pPr>
            <w:r>
              <w:rPr>
                <w:rFonts w:hint="eastAsia" w:ascii="宋体" w:hAnsi="宋体" w:cs="宋体"/>
                <w:b/>
                <w:bCs/>
                <w:i w:val="0"/>
                <w:iCs w:val="0"/>
                <w:color w:val="auto"/>
                <w:kern w:val="2"/>
                <w:sz w:val="24"/>
                <w:szCs w:val="24"/>
                <w:highlight w:val="none"/>
              </w:rPr>
              <w:t>条 款 名 称</w:t>
            </w:r>
          </w:p>
        </w:tc>
        <w:tc>
          <w:tcPr>
            <w:tcW w:w="6799" w:type="dxa"/>
            <w:tcBorders>
              <w:top w:val="single" w:color="auto" w:sz="8" w:space="0"/>
              <w:left w:val="nil"/>
              <w:bottom w:val="single" w:color="auto" w:sz="8" w:space="0"/>
              <w:right w:val="single" w:color="auto" w:sz="8" w:space="0"/>
            </w:tcBorders>
            <w:vAlign w:val="bottom"/>
          </w:tcPr>
          <w:p w14:paraId="545A6B6A">
            <w:pPr>
              <w:spacing w:line="420" w:lineRule="exact"/>
              <w:jc w:val="center"/>
              <w:rPr>
                <w:rFonts w:ascii="宋体" w:hAnsi="宋体" w:cs="宋体"/>
                <w:b/>
                <w:bCs/>
                <w:i w:val="0"/>
                <w:iCs w:val="0"/>
                <w:color w:val="auto"/>
                <w:kern w:val="2"/>
                <w:sz w:val="24"/>
                <w:szCs w:val="24"/>
                <w:highlight w:val="none"/>
              </w:rPr>
            </w:pPr>
            <w:r>
              <w:rPr>
                <w:rFonts w:hint="eastAsia" w:ascii="宋体" w:hAnsi="宋体" w:cs="宋体"/>
                <w:b/>
                <w:bCs/>
                <w:i w:val="0"/>
                <w:iCs w:val="0"/>
                <w:color w:val="auto"/>
                <w:kern w:val="2"/>
                <w:sz w:val="24"/>
                <w:szCs w:val="24"/>
                <w:highlight w:val="none"/>
              </w:rPr>
              <w:t>编 列 内 容</w:t>
            </w:r>
          </w:p>
        </w:tc>
      </w:tr>
      <w:tr w14:paraId="0EB68290">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37706906">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1.1.2</w:t>
            </w:r>
          </w:p>
        </w:tc>
        <w:tc>
          <w:tcPr>
            <w:tcW w:w="2024" w:type="dxa"/>
            <w:tcBorders>
              <w:top w:val="single" w:color="auto" w:sz="8" w:space="0"/>
              <w:left w:val="nil"/>
              <w:bottom w:val="single" w:color="auto" w:sz="8" w:space="0"/>
              <w:right w:val="single" w:color="auto" w:sz="8" w:space="0"/>
            </w:tcBorders>
            <w:vAlign w:val="center"/>
          </w:tcPr>
          <w:p w14:paraId="2F2BF95F">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招标人</w:t>
            </w:r>
          </w:p>
        </w:tc>
        <w:tc>
          <w:tcPr>
            <w:tcW w:w="6799" w:type="dxa"/>
            <w:tcBorders>
              <w:top w:val="single" w:color="auto" w:sz="8" w:space="0"/>
              <w:left w:val="nil"/>
              <w:bottom w:val="single" w:color="auto" w:sz="8" w:space="0"/>
              <w:right w:val="single" w:color="auto" w:sz="8" w:space="0"/>
            </w:tcBorders>
            <w:vAlign w:val="center"/>
          </w:tcPr>
          <w:p w14:paraId="744F6750">
            <w:pPr>
              <w:spacing w:line="420" w:lineRule="exact"/>
              <w:rPr>
                <w:rFonts w:hint="eastAsia" w:ascii="宋体" w:hAnsi="宋体" w:eastAsia="宋体" w:cs="宋体"/>
                <w:i w:val="0"/>
                <w:iCs w:val="0"/>
                <w:color w:val="auto"/>
                <w:kern w:val="2"/>
                <w:sz w:val="24"/>
                <w:szCs w:val="24"/>
                <w:highlight w:val="none"/>
                <w:lang w:eastAsia="zh-CN"/>
              </w:rPr>
            </w:pPr>
            <w:r>
              <w:rPr>
                <w:rFonts w:hint="eastAsia" w:ascii="宋体" w:hAnsi="宋体" w:cs="宋体"/>
                <w:i w:val="0"/>
                <w:iCs w:val="0"/>
                <w:color w:val="auto"/>
                <w:kern w:val="2"/>
                <w:sz w:val="24"/>
                <w:szCs w:val="24"/>
                <w:highlight w:val="none"/>
              </w:rPr>
              <w:t>名称：</w:t>
            </w:r>
            <w:r>
              <w:rPr>
                <w:rFonts w:hint="eastAsia" w:ascii="宋体" w:hAnsi="宋体" w:cs="宋体"/>
                <w:i w:val="0"/>
                <w:iCs w:val="0"/>
                <w:color w:val="auto"/>
                <w:kern w:val="2"/>
                <w:sz w:val="24"/>
                <w:szCs w:val="24"/>
                <w:highlight w:val="none"/>
                <w:lang w:eastAsia="zh-CN"/>
              </w:rPr>
              <w:t>红河州第二人民医院</w:t>
            </w:r>
          </w:p>
          <w:p w14:paraId="2D212ED4">
            <w:pPr>
              <w:spacing w:line="420" w:lineRule="exact"/>
              <w:rPr>
                <w:rFonts w:hint="eastAsia"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地    址：建水县泽园路28号</w:t>
            </w:r>
          </w:p>
          <w:p w14:paraId="0CED6DB8">
            <w:pPr>
              <w:spacing w:line="420" w:lineRule="exact"/>
              <w:rPr>
                <w:rFonts w:hint="eastAsia"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 xml:space="preserve">联系人：李文昌 </w:t>
            </w:r>
          </w:p>
          <w:p w14:paraId="4440C94F">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联系电话：（0873）7</w:t>
            </w:r>
            <w:r>
              <w:rPr>
                <w:rFonts w:hint="eastAsia" w:ascii="宋体" w:hAnsi="宋体" w:cs="宋体"/>
                <w:i w:val="0"/>
                <w:iCs w:val="0"/>
                <w:color w:val="auto"/>
                <w:kern w:val="2"/>
                <w:sz w:val="24"/>
                <w:szCs w:val="24"/>
                <w:highlight w:val="none"/>
                <w:lang w:val="en-US" w:eastAsia="zh-CN"/>
              </w:rPr>
              <w:t>781496</w:t>
            </w:r>
          </w:p>
        </w:tc>
      </w:tr>
      <w:tr w14:paraId="49AC6207">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7C81571D">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1.1.4</w:t>
            </w:r>
          </w:p>
        </w:tc>
        <w:tc>
          <w:tcPr>
            <w:tcW w:w="2024" w:type="dxa"/>
            <w:tcBorders>
              <w:top w:val="single" w:color="auto" w:sz="8" w:space="0"/>
              <w:left w:val="nil"/>
              <w:bottom w:val="single" w:color="auto" w:sz="8" w:space="0"/>
              <w:right w:val="single" w:color="auto" w:sz="8" w:space="0"/>
            </w:tcBorders>
            <w:vAlign w:val="center"/>
          </w:tcPr>
          <w:p w14:paraId="0F045C40">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招标项目名称</w:t>
            </w:r>
          </w:p>
        </w:tc>
        <w:tc>
          <w:tcPr>
            <w:tcW w:w="6799" w:type="dxa"/>
            <w:tcBorders>
              <w:top w:val="single" w:color="auto" w:sz="8" w:space="0"/>
              <w:left w:val="nil"/>
              <w:bottom w:val="single" w:color="auto" w:sz="8" w:space="0"/>
              <w:right w:val="single" w:color="auto" w:sz="8" w:space="0"/>
            </w:tcBorders>
            <w:vAlign w:val="bottom"/>
          </w:tcPr>
          <w:p w14:paraId="745C0AF5">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sz w:val="24"/>
                <w:highlight w:val="none"/>
                <w:lang w:eastAsia="zh-CN"/>
              </w:rPr>
              <w:t>红河州第二人民医院胃镜室清洗消毒工作站配套设备采购项目</w:t>
            </w:r>
          </w:p>
        </w:tc>
      </w:tr>
      <w:tr w14:paraId="3BEDE615">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35256136">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1.2</w:t>
            </w:r>
          </w:p>
        </w:tc>
        <w:tc>
          <w:tcPr>
            <w:tcW w:w="2024" w:type="dxa"/>
            <w:tcBorders>
              <w:top w:val="single" w:color="auto" w:sz="8" w:space="0"/>
              <w:left w:val="nil"/>
              <w:bottom w:val="single" w:color="auto" w:sz="8" w:space="0"/>
              <w:right w:val="single" w:color="auto" w:sz="8" w:space="0"/>
            </w:tcBorders>
            <w:vAlign w:val="center"/>
          </w:tcPr>
          <w:p w14:paraId="4274CD8A">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资金落实情况</w:t>
            </w:r>
          </w:p>
        </w:tc>
        <w:tc>
          <w:tcPr>
            <w:tcW w:w="6799" w:type="dxa"/>
            <w:tcBorders>
              <w:top w:val="single" w:color="auto" w:sz="8" w:space="0"/>
              <w:left w:val="nil"/>
              <w:bottom w:val="single" w:color="auto" w:sz="8" w:space="0"/>
              <w:right w:val="single" w:color="auto" w:sz="8" w:space="0"/>
            </w:tcBorders>
            <w:vAlign w:val="bottom"/>
          </w:tcPr>
          <w:p w14:paraId="3E62A9C3">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u w:val="single"/>
              </w:rPr>
              <w:t>已落实</w:t>
            </w:r>
          </w:p>
        </w:tc>
      </w:tr>
      <w:tr w14:paraId="0E64B319">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127FC3A0">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1.3.1</w:t>
            </w:r>
          </w:p>
        </w:tc>
        <w:tc>
          <w:tcPr>
            <w:tcW w:w="2024" w:type="dxa"/>
            <w:tcBorders>
              <w:top w:val="single" w:color="auto" w:sz="8" w:space="0"/>
              <w:left w:val="nil"/>
              <w:bottom w:val="single" w:color="auto" w:sz="8" w:space="0"/>
              <w:right w:val="single" w:color="auto" w:sz="8" w:space="0"/>
            </w:tcBorders>
            <w:vAlign w:val="center"/>
          </w:tcPr>
          <w:p w14:paraId="5FD22C2A">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招标内容</w:t>
            </w:r>
          </w:p>
        </w:tc>
        <w:tc>
          <w:tcPr>
            <w:tcW w:w="6799" w:type="dxa"/>
            <w:tcBorders>
              <w:top w:val="single" w:color="auto" w:sz="8" w:space="0"/>
              <w:left w:val="nil"/>
              <w:bottom w:val="single" w:color="auto" w:sz="8" w:space="0"/>
              <w:right w:val="single" w:color="auto" w:sz="8" w:space="0"/>
            </w:tcBorders>
            <w:vAlign w:val="center"/>
          </w:tcPr>
          <w:p w14:paraId="02B6F29E">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详见第五章“</w:t>
            </w:r>
            <w:r>
              <w:rPr>
                <w:rFonts w:hint="eastAsia" w:ascii="宋体" w:hAnsi="宋体" w:cs="宋体"/>
                <w:i w:val="0"/>
                <w:iCs w:val="0"/>
                <w:color w:val="auto"/>
                <w:kern w:val="2"/>
                <w:sz w:val="24"/>
                <w:szCs w:val="24"/>
                <w:highlight w:val="none"/>
                <w:lang w:eastAsia="zh-CN"/>
              </w:rPr>
              <w:t>采购内容及要求</w:t>
            </w:r>
            <w:r>
              <w:rPr>
                <w:rFonts w:hint="eastAsia" w:ascii="宋体" w:hAnsi="宋体" w:cs="宋体"/>
                <w:i w:val="0"/>
                <w:iCs w:val="0"/>
                <w:color w:val="auto"/>
                <w:kern w:val="2"/>
                <w:sz w:val="24"/>
                <w:szCs w:val="24"/>
                <w:highlight w:val="none"/>
              </w:rPr>
              <w:t>”</w:t>
            </w:r>
          </w:p>
        </w:tc>
      </w:tr>
      <w:tr w14:paraId="67345855">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2CE0DA0F">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1.3.2</w:t>
            </w:r>
          </w:p>
        </w:tc>
        <w:tc>
          <w:tcPr>
            <w:tcW w:w="2024" w:type="dxa"/>
            <w:tcBorders>
              <w:top w:val="single" w:color="auto" w:sz="8" w:space="0"/>
              <w:left w:val="nil"/>
              <w:bottom w:val="single" w:color="auto" w:sz="8" w:space="0"/>
              <w:right w:val="single" w:color="auto" w:sz="8" w:space="0"/>
            </w:tcBorders>
            <w:vAlign w:val="center"/>
          </w:tcPr>
          <w:p w14:paraId="66ACCF51">
            <w:pPr>
              <w:spacing w:line="420" w:lineRule="exact"/>
              <w:jc w:val="both"/>
              <w:rPr>
                <w:rFonts w:hint="eastAsia" w:ascii="宋体" w:hAnsi="宋体" w:eastAsia="宋体" w:cs="宋体"/>
                <w:i w:val="0"/>
                <w:iCs w:val="0"/>
                <w:color w:val="auto"/>
                <w:kern w:val="2"/>
                <w:sz w:val="24"/>
                <w:szCs w:val="24"/>
                <w:highlight w:val="none"/>
                <w:lang w:eastAsia="zh-CN"/>
              </w:rPr>
            </w:pPr>
            <w:r>
              <w:rPr>
                <w:rFonts w:hint="eastAsia" w:ascii="宋体" w:hAnsi="宋体" w:cs="宋体"/>
                <w:i w:val="0"/>
                <w:iCs w:val="0"/>
                <w:color w:val="auto"/>
                <w:kern w:val="2"/>
                <w:sz w:val="24"/>
                <w:szCs w:val="24"/>
                <w:highlight w:val="none"/>
                <w:lang w:eastAsia="zh-CN"/>
              </w:rPr>
              <w:t>交货期</w:t>
            </w:r>
          </w:p>
        </w:tc>
        <w:tc>
          <w:tcPr>
            <w:tcW w:w="6799" w:type="dxa"/>
            <w:tcBorders>
              <w:top w:val="single" w:color="auto" w:sz="8" w:space="0"/>
              <w:left w:val="nil"/>
              <w:bottom w:val="single" w:color="auto" w:sz="8" w:space="0"/>
              <w:right w:val="single" w:color="auto" w:sz="8" w:space="0"/>
            </w:tcBorders>
            <w:vAlign w:val="center"/>
          </w:tcPr>
          <w:p w14:paraId="70B97E29">
            <w:pPr>
              <w:spacing w:line="420" w:lineRule="exact"/>
              <w:jc w:val="both"/>
              <w:rPr>
                <w:rFonts w:ascii="宋体" w:hAnsi="宋体" w:cs="宋体"/>
                <w:i w:val="0"/>
                <w:iCs w:val="0"/>
                <w:color w:val="auto"/>
                <w:kern w:val="2"/>
                <w:sz w:val="24"/>
                <w:szCs w:val="24"/>
                <w:highlight w:val="none"/>
              </w:rPr>
            </w:pPr>
            <w:r>
              <w:rPr>
                <w:rFonts w:hint="eastAsia" w:ascii="宋体" w:hAnsi="宋体" w:cs="宋体"/>
                <w:i w:val="0"/>
                <w:iCs w:val="0"/>
                <w:color w:val="auto"/>
                <w:sz w:val="24"/>
                <w:highlight w:val="none"/>
              </w:rPr>
              <w:t>详见</w:t>
            </w:r>
            <w:r>
              <w:rPr>
                <w:rFonts w:hint="eastAsia" w:ascii="宋体" w:hAnsi="宋体" w:cs="宋体"/>
                <w:i w:val="0"/>
                <w:iCs w:val="0"/>
                <w:color w:val="auto"/>
                <w:kern w:val="2"/>
                <w:sz w:val="24"/>
                <w:szCs w:val="24"/>
                <w:highlight w:val="none"/>
              </w:rPr>
              <w:t>第五章“</w:t>
            </w:r>
            <w:r>
              <w:rPr>
                <w:rFonts w:hint="eastAsia" w:ascii="宋体" w:hAnsi="宋体" w:cs="宋体"/>
                <w:i w:val="0"/>
                <w:iCs w:val="0"/>
                <w:color w:val="auto"/>
                <w:kern w:val="2"/>
                <w:sz w:val="24"/>
                <w:szCs w:val="24"/>
                <w:highlight w:val="none"/>
                <w:lang w:eastAsia="zh-CN"/>
              </w:rPr>
              <w:t>采购内容及要求</w:t>
            </w:r>
            <w:r>
              <w:rPr>
                <w:rFonts w:hint="eastAsia" w:ascii="宋体" w:hAnsi="宋体" w:cs="宋体"/>
                <w:i w:val="0"/>
                <w:iCs w:val="0"/>
                <w:color w:val="auto"/>
                <w:kern w:val="2"/>
                <w:sz w:val="24"/>
                <w:szCs w:val="24"/>
                <w:highlight w:val="none"/>
              </w:rPr>
              <w:t>”</w:t>
            </w:r>
          </w:p>
        </w:tc>
      </w:tr>
      <w:tr w14:paraId="7E43EA5E">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797B323C">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1.3.3</w:t>
            </w:r>
          </w:p>
        </w:tc>
        <w:tc>
          <w:tcPr>
            <w:tcW w:w="2024" w:type="dxa"/>
            <w:tcBorders>
              <w:top w:val="single" w:color="auto" w:sz="8" w:space="0"/>
              <w:left w:val="nil"/>
              <w:bottom w:val="single" w:color="auto" w:sz="8" w:space="0"/>
              <w:right w:val="single" w:color="auto" w:sz="8" w:space="0"/>
            </w:tcBorders>
            <w:vAlign w:val="center"/>
          </w:tcPr>
          <w:p w14:paraId="2AC1A0BC">
            <w:pPr>
              <w:spacing w:line="420" w:lineRule="exact"/>
              <w:rPr>
                <w:rFonts w:hint="eastAsia" w:ascii="宋体" w:hAnsi="宋体" w:eastAsia="宋体" w:cs="宋体"/>
                <w:i w:val="0"/>
                <w:iCs w:val="0"/>
                <w:color w:val="auto"/>
                <w:kern w:val="2"/>
                <w:sz w:val="24"/>
                <w:szCs w:val="24"/>
                <w:highlight w:val="none"/>
                <w:lang w:eastAsia="zh-CN"/>
              </w:rPr>
            </w:pPr>
            <w:r>
              <w:rPr>
                <w:rFonts w:hint="eastAsia" w:ascii="宋体" w:hAnsi="宋体" w:cs="宋体"/>
                <w:i w:val="0"/>
                <w:iCs w:val="0"/>
                <w:color w:val="auto"/>
                <w:kern w:val="2"/>
                <w:sz w:val="24"/>
                <w:szCs w:val="24"/>
                <w:highlight w:val="none"/>
                <w:lang w:eastAsia="zh-CN"/>
              </w:rPr>
              <w:t>交货地点</w:t>
            </w:r>
          </w:p>
        </w:tc>
        <w:tc>
          <w:tcPr>
            <w:tcW w:w="6799" w:type="dxa"/>
            <w:tcBorders>
              <w:top w:val="single" w:color="auto" w:sz="8" w:space="0"/>
              <w:left w:val="nil"/>
              <w:bottom w:val="single" w:color="auto" w:sz="8" w:space="0"/>
              <w:right w:val="single" w:color="auto" w:sz="8" w:space="0"/>
            </w:tcBorders>
            <w:vAlign w:val="center"/>
          </w:tcPr>
          <w:p w14:paraId="5DA75A10">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sz w:val="24"/>
                <w:highlight w:val="none"/>
                <w:lang w:eastAsia="zh-CN"/>
              </w:rPr>
              <w:t>云南</w:t>
            </w:r>
            <w:r>
              <w:rPr>
                <w:rFonts w:hint="eastAsia" w:ascii="宋体" w:hAnsi="宋体" w:cs="宋体"/>
                <w:i w:val="0"/>
                <w:iCs w:val="0"/>
                <w:color w:val="auto"/>
                <w:sz w:val="24"/>
                <w:highlight w:val="none"/>
                <w:lang w:val="en-US" w:eastAsia="zh-CN"/>
              </w:rPr>
              <w:t>省红河州第二人民医院（建水县泽园路28号）指定地点。</w:t>
            </w:r>
          </w:p>
        </w:tc>
      </w:tr>
      <w:tr w14:paraId="4905E684">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35A8E2AC">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1.4.1</w:t>
            </w:r>
          </w:p>
        </w:tc>
        <w:tc>
          <w:tcPr>
            <w:tcW w:w="2024" w:type="dxa"/>
            <w:tcBorders>
              <w:top w:val="single" w:color="auto" w:sz="8" w:space="0"/>
              <w:left w:val="nil"/>
              <w:bottom w:val="single" w:color="auto" w:sz="8" w:space="0"/>
              <w:right w:val="single" w:color="auto" w:sz="8" w:space="0"/>
            </w:tcBorders>
            <w:vAlign w:val="center"/>
          </w:tcPr>
          <w:p w14:paraId="410D234B">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投标人资格要求</w:t>
            </w:r>
          </w:p>
        </w:tc>
        <w:tc>
          <w:tcPr>
            <w:tcW w:w="6799" w:type="dxa"/>
            <w:tcBorders>
              <w:top w:val="single" w:color="auto" w:sz="8" w:space="0"/>
              <w:left w:val="nil"/>
              <w:bottom w:val="single" w:color="auto" w:sz="8" w:space="0"/>
              <w:right w:val="single" w:color="auto" w:sz="8" w:space="0"/>
            </w:tcBorders>
            <w:vAlign w:val="center"/>
          </w:tcPr>
          <w:p w14:paraId="7982ABB0">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详见第一章“</w:t>
            </w:r>
            <w:r>
              <w:rPr>
                <w:rFonts w:hint="eastAsia" w:ascii="宋体" w:hAnsi="宋体" w:cs="宋体"/>
                <w:i w:val="0"/>
                <w:iCs w:val="0"/>
                <w:color w:val="auto"/>
                <w:kern w:val="2"/>
                <w:sz w:val="24"/>
                <w:szCs w:val="24"/>
                <w:highlight w:val="none"/>
                <w:lang w:eastAsia="zh-CN"/>
              </w:rPr>
              <w:t>招标公告</w:t>
            </w:r>
            <w:r>
              <w:rPr>
                <w:rFonts w:hint="eastAsia" w:ascii="宋体" w:hAnsi="宋体" w:cs="宋体"/>
                <w:i w:val="0"/>
                <w:iCs w:val="0"/>
                <w:color w:val="auto"/>
                <w:kern w:val="2"/>
                <w:sz w:val="24"/>
                <w:szCs w:val="24"/>
                <w:highlight w:val="none"/>
              </w:rPr>
              <w:t>3.投标人资格要求”</w:t>
            </w:r>
          </w:p>
        </w:tc>
      </w:tr>
      <w:tr w14:paraId="408D5F52">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46055E04">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1.4.2</w:t>
            </w:r>
          </w:p>
        </w:tc>
        <w:tc>
          <w:tcPr>
            <w:tcW w:w="2024" w:type="dxa"/>
            <w:tcBorders>
              <w:top w:val="single" w:color="auto" w:sz="8" w:space="0"/>
              <w:left w:val="nil"/>
              <w:bottom w:val="single" w:color="auto" w:sz="8" w:space="0"/>
              <w:right w:val="single" w:color="auto" w:sz="8" w:space="0"/>
            </w:tcBorders>
            <w:vAlign w:val="center"/>
          </w:tcPr>
          <w:p w14:paraId="16313AB2">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是否接受联合体投标</w:t>
            </w:r>
          </w:p>
        </w:tc>
        <w:tc>
          <w:tcPr>
            <w:tcW w:w="6799" w:type="dxa"/>
            <w:tcBorders>
              <w:top w:val="single" w:color="auto" w:sz="8" w:space="0"/>
              <w:left w:val="nil"/>
              <w:bottom w:val="single" w:color="auto" w:sz="8" w:space="0"/>
              <w:right w:val="single" w:color="auto" w:sz="8" w:space="0"/>
            </w:tcBorders>
            <w:vAlign w:val="bottom"/>
          </w:tcPr>
          <w:p w14:paraId="57A56DA0">
            <w:pPr>
              <w:spacing w:line="420" w:lineRule="exact"/>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sym w:font="Wingdings 2" w:char="0052"/>
            </w:r>
            <w:r>
              <w:rPr>
                <w:rFonts w:hint="eastAsia" w:ascii="宋体" w:hAnsi="宋体" w:cs="宋体"/>
                <w:i w:val="0"/>
                <w:iCs w:val="0"/>
                <w:color w:val="auto"/>
                <w:sz w:val="24"/>
                <w:szCs w:val="24"/>
                <w:highlight w:val="none"/>
              </w:rPr>
              <w:t>不接受</w:t>
            </w:r>
          </w:p>
          <w:p w14:paraId="0BF2A6EB">
            <w:pPr>
              <w:spacing w:line="420" w:lineRule="exact"/>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lang w:eastAsia="zh-CN"/>
              </w:rPr>
              <w:t>□</w:t>
            </w:r>
            <w:r>
              <w:rPr>
                <w:rFonts w:hint="eastAsia" w:ascii="宋体" w:hAnsi="宋体" w:cs="宋体"/>
                <w:i w:val="0"/>
                <w:iCs w:val="0"/>
                <w:color w:val="auto"/>
                <w:sz w:val="24"/>
                <w:szCs w:val="24"/>
                <w:highlight w:val="none"/>
              </w:rPr>
              <w:t>接受，应满足下列要求：</w:t>
            </w:r>
          </w:p>
          <w:p w14:paraId="71D4B635">
            <w:pPr>
              <w:spacing w:line="420" w:lineRule="exact"/>
              <w:ind w:firstLine="482" w:firstLineChars="200"/>
              <w:rPr>
                <w:rFonts w:ascii="宋体" w:hAnsi="宋体" w:cs="宋体"/>
                <w:i w:val="0"/>
                <w:iCs w:val="0"/>
                <w:color w:val="auto"/>
                <w:sz w:val="24"/>
                <w:szCs w:val="24"/>
                <w:highlight w:val="none"/>
              </w:rPr>
            </w:pPr>
            <w:r>
              <w:rPr>
                <w:rFonts w:hint="eastAsia" w:ascii="宋体" w:hAnsi="宋体" w:cs="宋体"/>
                <w:b/>
                <w:bCs/>
                <w:i w:val="0"/>
                <w:iCs w:val="0"/>
                <w:color w:val="auto"/>
                <w:sz w:val="24"/>
                <w:szCs w:val="24"/>
                <w:highlight w:val="none"/>
              </w:rPr>
              <w:t>信用要求：</w:t>
            </w:r>
            <w:r>
              <w:rPr>
                <w:rFonts w:hint="eastAsia" w:ascii="宋体" w:hAnsi="宋体" w:cs="宋体"/>
                <w:i w:val="0"/>
                <w:iCs w:val="0"/>
                <w:color w:val="auto"/>
                <w:sz w:val="24"/>
                <w:szCs w:val="24"/>
                <w:highlight w:val="none"/>
              </w:rPr>
              <w:t>两个以上的自然人、法人或者其他组织组成一个联合体，以一个投标人的身份共同参加投标的，应当对所有联合体成员进行信用记录查询，联合体成员存在不良信用记录的，视同联合体存在不良信用记录。</w:t>
            </w:r>
          </w:p>
          <w:p w14:paraId="7D717291">
            <w:pPr>
              <w:spacing w:line="420" w:lineRule="exact"/>
              <w:ind w:firstLine="482" w:firstLineChars="200"/>
              <w:rPr>
                <w:rFonts w:ascii="宋体" w:hAnsi="宋体" w:cs="宋体"/>
                <w:i w:val="0"/>
                <w:iCs w:val="0"/>
                <w:color w:val="auto"/>
                <w:kern w:val="2"/>
                <w:sz w:val="24"/>
                <w:szCs w:val="24"/>
                <w:highlight w:val="none"/>
              </w:rPr>
            </w:pPr>
            <w:r>
              <w:rPr>
                <w:rFonts w:hint="eastAsia" w:ascii="宋体" w:hAnsi="宋体" w:cs="宋体"/>
                <w:b/>
                <w:bCs/>
                <w:i w:val="0"/>
                <w:iCs w:val="0"/>
                <w:color w:val="auto"/>
                <w:sz w:val="24"/>
                <w:szCs w:val="24"/>
                <w:highlight w:val="none"/>
              </w:rPr>
              <w:t>其他要求：</w:t>
            </w:r>
            <w:r>
              <w:rPr>
                <w:rFonts w:hint="eastAsia" w:ascii="宋体" w:hAnsi="宋体" w:cs="宋体"/>
                <w:i w:val="0"/>
                <w:iCs w:val="0"/>
                <w:color w:val="auto"/>
                <w:sz w:val="24"/>
                <w:szCs w:val="24"/>
                <w:highlight w:val="none"/>
              </w:rPr>
              <w:t xml:space="preserve"> </w:t>
            </w:r>
            <w:r>
              <w:rPr>
                <w:rFonts w:hint="eastAsia" w:ascii="宋体" w:hAnsi="宋体" w:cs="宋体"/>
                <w:i w:val="0"/>
                <w:iCs w:val="0"/>
                <w:color w:val="auto"/>
                <w:sz w:val="24"/>
                <w:szCs w:val="24"/>
                <w:highlight w:val="none"/>
                <w:u w:val="single"/>
              </w:rPr>
              <w:t>接受联合体投标的，请提供联合体协议书</w:t>
            </w:r>
            <w:r>
              <w:rPr>
                <w:rFonts w:hint="eastAsia" w:ascii="宋体" w:hAnsi="宋体" w:cs="宋体"/>
                <w:i w:val="0"/>
                <w:iCs w:val="0"/>
                <w:color w:val="auto"/>
                <w:sz w:val="24"/>
                <w:szCs w:val="24"/>
                <w:highlight w:val="none"/>
              </w:rPr>
              <w:t>。</w:t>
            </w:r>
          </w:p>
        </w:tc>
      </w:tr>
      <w:tr w14:paraId="245AEC6B">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6FC1EA33">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1.9.1</w:t>
            </w:r>
          </w:p>
        </w:tc>
        <w:tc>
          <w:tcPr>
            <w:tcW w:w="2024" w:type="dxa"/>
            <w:tcBorders>
              <w:top w:val="single" w:color="auto" w:sz="8" w:space="0"/>
              <w:left w:val="nil"/>
              <w:bottom w:val="single" w:color="auto" w:sz="8" w:space="0"/>
              <w:right w:val="single" w:color="auto" w:sz="8" w:space="0"/>
            </w:tcBorders>
            <w:vAlign w:val="center"/>
          </w:tcPr>
          <w:p w14:paraId="04140180">
            <w:pPr>
              <w:spacing w:line="420" w:lineRule="exact"/>
              <w:rPr>
                <w:rFonts w:hint="eastAsia" w:ascii="宋体" w:hAnsi="宋体" w:cs="宋体" w:eastAsiaTheme="minorEastAsia"/>
                <w:i w:val="0"/>
                <w:iCs w:val="0"/>
                <w:color w:val="auto"/>
                <w:kern w:val="2"/>
                <w:sz w:val="24"/>
                <w:szCs w:val="24"/>
                <w:highlight w:val="none"/>
                <w:lang w:val="en-US" w:eastAsia="zh-CN" w:bidi="ar-SA"/>
              </w:rPr>
            </w:pPr>
            <w:r>
              <w:rPr>
                <w:rFonts w:hint="eastAsia" w:ascii="宋体" w:hAnsi="宋体" w:cs="宋体" w:eastAsiaTheme="minorEastAsia"/>
                <w:i w:val="0"/>
                <w:iCs w:val="0"/>
                <w:color w:val="auto"/>
                <w:kern w:val="2"/>
                <w:sz w:val="24"/>
                <w:szCs w:val="24"/>
                <w:highlight w:val="none"/>
                <w:lang w:val="en-US" w:eastAsia="zh-CN" w:bidi="ar-SA"/>
              </w:rPr>
              <w:t>现场考察</w:t>
            </w:r>
          </w:p>
        </w:tc>
        <w:tc>
          <w:tcPr>
            <w:tcW w:w="6799" w:type="dxa"/>
            <w:tcBorders>
              <w:top w:val="single" w:color="auto" w:sz="8" w:space="0"/>
              <w:left w:val="nil"/>
              <w:bottom w:val="single" w:color="auto" w:sz="8" w:space="0"/>
              <w:right w:val="single" w:color="auto" w:sz="8" w:space="0"/>
            </w:tcBorders>
            <w:vAlign w:val="center"/>
          </w:tcPr>
          <w:p w14:paraId="7E043F9D">
            <w:pPr>
              <w:pStyle w:val="19"/>
              <w:topLinePunct/>
              <w:spacing w:line="420" w:lineRule="exact"/>
              <w:rPr>
                <w:rFonts w:hint="eastAsia" w:ascii="宋体" w:hAnsi="宋体" w:cs="宋体" w:eastAsiaTheme="minorEastAsia"/>
                <w:i w:val="0"/>
                <w:iCs w:val="0"/>
                <w:color w:val="auto"/>
                <w:kern w:val="2"/>
                <w:sz w:val="24"/>
                <w:szCs w:val="24"/>
                <w:highlight w:val="none"/>
                <w:lang w:val="en-US" w:eastAsia="zh-CN" w:bidi="ar-SA"/>
              </w:rPr>
            </w:pPr>
            <w:r>
              <w:rPr>
                <w:rFonts w:hint="eastAsia" w:ascii="宋体" w:hAnsi="宋体" w:cs="宋体" w:eastAsiaTheme="minorEastAsia"/>
                <w:i w:val="0"/>
                <w:iCs w:val="0"/>
                <w:color w:val="auto"/>
                <w:kern w:val="2"/>
                <w:sz w:val="24"/>
                <w:szCs w:val="24"/>
                <w:highlight w:val="none"/>
                <w:lang w:val="en-US" w:eastAsia="zh-CN" w:bidi="ar-SA"/>
              </w:rPr>
              <w:t>不组织</w:t>
            </w:r>
          </w:p>
        </w:tc>
      </w:tr>
      <w:tr w14:paraId="31B3100B">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1F994C5E">
            <w:pPr>
              <w:spacing w:line="420" w:lineRule="exact"/>
              <w:jc w:val="center"/>
              <w:rPr>
                <w:rFonts w:ascii="宋体" w:hAnsi="宋体" w:cs="宋体"/>
                <w:i w:val="0"/>
                <w:iCs w:val="0"/>
                <w:color w:val="auto"/>
                <w:kern w:val="2"/>
                <w:sz w:val="24"/>
                <w:szCs w:val="24"/>
                <w:highlight w:val="none"/>
              </w:rPr>
            </w:pPr>
            <w:bookmarkStart w:id="57" w:name="page17"/>
            <w:bookmarkEnd w:id="57"/>
            <w:r>
              <w:rPr>
                <w:rFonts w:hint="eastAsia" w:ascii="宋体" w:hAnsi="宋体" w:cs="宋体"/>
                <w:i w:val="0"/>
                <w:iCs w:val="0"/>
                <w:color w:val="auto"/>
                <w:kern w:val="2"/>
                <w:sz w:val="24"/>
                <w:szCs w:val="24"/>
                <w:highlight w:val="none"/>
              </w:rPr>
              <w:t>2.1</w:t>
            </w:r>
          </w:p>
        </w:tc>
        <w:tc>
          <w:tcPr>
            <w:tcW w:w="2024" w:type="dxa"/>
            <w:tcBorders>
              <w:top w:val="single" w:color="auto" w:sz="8" w:space="0"/>
              <w:left w:val="nil"/>
              <w:bottom w:val="single" w:color="auto" w:sz="8" w:space="0"/>
              <w:right w:val="single" w:color="auto" w:sz="8" w:space="0"/>
            </w:tcBorders>
            <w:vAlign w:val="center"/>
          </w:tcPr>
          <w:p w14:paraId="40D038DE">
            <w:pPr>
              <w:pStyle w:val="72"/>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构成</w:t>
            </w:r>
            <w:r>
              <w:rPr>
                <w:rFonts w:hint="eastAsia" w:ascii="宋体" w:hAnsi="宋体" w:cs="宋体"/>
                <w:i w:val="0"/>
                <w:iCs w:val="0"/>
                <w:color w:val="auto"/>
                <w:kern w:val="2"/>
                <w:sz w:val="24"/>
                <w:szCs w:val="24"/>
                <w:highlight w:val="none"/>
                <w:lang w:eastAsia="zh-CN"/>
              </w:rPr>
              <w:t>招标文件</w:t>
            </w:r>
            <w:r>
              <w:rPr>
                <w:rFonts w:hint="eastAsia" w:ascii="宋体" w:hAnsi="宋体" w:cs="宋体"/>
                <w:i w:val="0"/>
                <w:iCs w:val="0"/>
                <w:color w:val="auto"/>
                <w:kern w:val="2"/>
                <w:sz w:val="24"/>
                <w:szCs w:val="24"/>
                <w:highlight w:val="none"/>
              </w:rPr>
              <w:t>的其他资料</w:t>
            </w:r>
          </w:p>
        </w:tc>
        <w:tc>
          <w:tcPr>
            <w:tcW w:w="6799" w:type="dxa"/>
            <w:tcBorders>
              <w:top w:val="single" w:color="auto" w:sz="8" w:space="0"/>
              <w:left w:val="nil"/>
              <w:bottom w:val="single" w:color="auto" w:sz="8" w:space="0"/>
              <w:right w:val="single" w:color="auto" w:sz="8" w:space="0"/>
            </w:tcBorders>
            <w:vAlign w:val="center"/>
          </w:tcPr>
          <w:p w14:paraId="7012D49E">
            <w:pPr>
              <w:pStyle w:val="72"/>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澄清、修改等内容</w:t>
            </w:r>
          </w:p>
        </w:tc>
      </w:tr>
      <w:tr w14:paraId="3B8A2457">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384644DE">
            <w:pPr>
              <w:pStyle w:val="74"/>
              <w:spacing w:line="440" w:lineRule="exact"/>
              <w:jc w:val="center"/>
              <w:rPr>
                <w:i w:val="0"/>
                <w:iCs w:val="0"/>
                <w:color w:val="auto"/>
                <w:kern w:val="2"/>
                <w:sz w:val="24"/>
                <w:szCs w:val="24"/>
                <w:highlight w:val="none"/>
              </w:rPr>
            </w:pPr>
            <w:r>
              <w:rPr>
                <w:rFonts w:hint="eastAsia"/>
                <w:i w:val="0"/>
                <w:iCs w:val="0"/>
                <w:color w:val="auto"/>
                <w:sz w:val="24"/>
                <w:szCs w:val="24"/>
                <w:highlight w:val="none"/>
              </w:rPr>
              <w:t>2.2.1</w:t>
            </w:r>
          </w:p>
        </w:tc>
        <w:tc>
          <w:tcPr>
            <w:tcW w:w="2024" w:type="dxa"/>
            <w:tcBorders>
              <w:top w:val="single" w:color="auto" w:sz="8" w:space="0"/>
              <w:left w:val="nil"/>
              <w:bottom w:val="single" w:color="auto" w:sz="8" w:space="0"/>
              <w:right w:val="single" w:color="auto" w:sz="8" w:space="0"/>
            </w:tcBorders>
            <w:vAlign w:val="center"/>
          </w:tcPr>
          <w:p w14:paraId="1FC58127">
            <w:pPr>
              <w:pStyle w:val="74"/>
              <w:spacing w:line="440" w:lineRule="exact"/>
              <w:rPr>
                <w:i w:val="0"/>
                <w:iCs w:val="0"/>
                <w:color w:val="auto"/>
                <w:kern w:val="2"/>
                <w:sz w:val="24"/>
                <w:szCs w:val="24"/>
                <w:highlight w:val="none"/>
                <w:lang w:eastAsia="zh-CN"/>
              </w:rPr>
            </w:pPr>
            <w:r>
              <w:rPr>
                <w:rFonts w:hint="eastAsia"/>
                <w:i w:val="0"/>
                <w:iCs w:val="0"/>
                <w:color w:val="auto"/>
                <w:sz w:val="24"/>
                <w:szCs w:val="24"/>
                <w:highlight w:val="none"/>
                <w:lang w:eastAsia="zh-CN"/>
              </w:rPr>
              <w:t>投标人要求澄清招标文件</w:t>
            </w:r>
          </w:p>
        </w:tc>
        <w:tc>
          <w:tcPr>
            <w:tcW w:w="6799" w:type="dxa"/>
            <w:tcBorders>
              <w:top w:val="single" w:color="auto" w:sz="8" w:space="0"/>
              <w:left w:val="nil"/>
              <w:bottom w:val="single" w:color="auto" w:sz="8" w:space="0"/>
              <w:right w:val="single" w:color="auto" w:sz="8" w:space="0"/>
            </w:tcBorders>
            <w:vAlign w:val="center"/>
          </w:tcPr>
          <w:p w14:paraId="7E36E70A">
            <w:pPr>
              <w:pStyle w:val="74"/>
              <w:spacing w:line="440" w:lineRule="exact"/>
              <w:rPr>
                <w:i w:val="0"/>
                <w:iCs w:val="0"/>
                <w:color w:val="auto"/>
                <w:sz w:val="24"/>
                <w:szCs w:val="24"/>
                <w:highlight w:val="none"/>
                <w:lang w:eastAsia="zh-CN"/>
              </w:rPr>
            </w:pPr>
            <w:r>
              <w:rPr>
                <w:rFonts w:hint="eastAsia"/>
                <w:i w:val="0"/>
                <w:iCs w:val="0"/>
                <w:color w:val="auto"/>
                <w:sz w:val="24"/>
                <w:szCs w:val="24"/>
                <w:highlight w:val="none"/>
                <w:lang w:eastAsia="zh-CN"/>
              </w:rPr>
              <w:t>时间：投标截止时间</w:t>
            </w:r>
            <w:r>
              <w:rPr>
                <w:rFonts w:hint="eastAsia"/>
                <w:i w:val="0"/>
                <w:iCs w:val="0"/>
                <w:color w:val="auto"/>
                <w:sz w:val="24"/>
                <w:szCs w:val="24"/>
                <w:highlight w:val="none"/>
                <w:lang w:val="en-US" w:eastAsia="zh-CN"/>
              </w:rPr>
              <w:t>3</w:t>
            </w:r>
            <w:r>
              <w:rPr>
                <w:rFonts w:hint="eastAsia"/>
                <w:i w:val="0"/>
                <w:iCs w:val="0"/>
                <w:color w:val="auto"/>
                <w:sz w:val="24"/>
                <w:szCs w:val="24"/>
                <w:highlight w:val="none"/>
                <w:lang w:eastAsia="zh-CN"/>
              </w:rPr>
              <w:t>日前</w:t>
            </w:r>
          </w:p>
          <w:p w14:paraId="2F272BA1">
            <w:pPr>
              <w:pStyle w:val="74"/>
              <w:spacing w:line="440" w:lineRule="exact"/>
              <w:rPr>
                <w:i w:val="0"/>
                <w:iCs w:val="0"/>
                <w:color w:val="auto"/>
                <w:sz w:val="24"/>
                <w:szCs w:val="24"/>
                <w:highlight w:val="none"/>
                <w:lang w:eastAsia="zh-CN"/>
              </w:rPr>
            </w:pPr>
            <w:r>
              <w:rPr>
                <w:rFonts w:hint="eastAsia"/>
                <w:i w:val="0"/>
                <w:iCs w:val="0"/>
                <w:color w:val="auto"/>
                <w:sz w:val="24"/>
                <w:szCs w:val="24"/>
                <w:highlight w:val="none"/>
              </w:rPr>
              <w:t>形式：</w:t>
            </w:r>
            <w:r>
              <w:rPr>
                <w:rFonts w:hint="eastAsia"/>
                <w:i w:val="0"/>
                <w:iCs w:val="0"/>
                <w:color w:val="auto"/>
                <w:sz w:val="24"/>
                <w:szCs w:val="24"/>
                <w:highlight w:val="none"/>
                <w:lang w:eastAsia="zh-CN"/>
              </w:rPr>
              <w:t>书面</w:t>
            </w:r>
          </w:p>
        </w:tc>
      </w:tr>
      <w:tr w14:paraId="1C5D698B">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624C0B31">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2.2.2</w:t>
            </w:r>
          </w:p>
        </w:tc>
        <w:tc>
          <w:tcPr>
            <w:tcW w:w="2024" w:type="dxa"/>
            <w:tcBorders>
              <w:top w:val="single" w:color="auto" w:sz="8" w:space="0"/>
              <w:left w:val="nil"/>
              <w:bottom w:val="single" w:color="auto" w:sz="8" w:space="0"/>
              <w:right w:val="single" w:color="auto" w:sz="8" w:space="0"/>
            </w:tcBorders>
            <w:vAlign w:val="center"/>
          </w:tcPr>
          <w:p w14:paraId="65A63398">
            <w:pPr>
              <w:pStyle w:val="72"/>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招标文件</w:t>
            </w:r>
            <w:r>
              <w:rPr>
                <w:rFonts w:hint="eastAsia" w:ascii="宋体" w:hAnsi="宋体" w:cs="宋体"/>
                <w:i w:val="0"/>
                <w:iCs w:val="0"/>
                <w:color w:val="auto"/>
                <w:kern w:val="2"/>
                <w:sz w:val="24"/>
                <w:szCs w:val="24"/>
                <w:highlight w:val="none"/>
              </w:rPr>
              <w:t>澄清发出的形式</w:t>
            </w:r>
          </w:p>
        </w:tc>
        <w:tc>
          <w:tcPr>
            <w:tcW w:w="6799" w:type="dxa"/>
            <w:tcBorders>
              <w:top w:val="single" w:color="auto" w:sz="8" w:space="0"/>
              <w:left w:val="nil"/>
              <w:bottom w:val="single" w:color="auto" w:sz="8" w:space="0"/>
              <w:right w:val="single" w:color="auto" w:sz="8" w:space="0"/>
            </w:tcBorders>
            <w:vAlign w:val="center"/>
          </w:tcPr>
          <w:p w14:paraId="3D7B799E">
            <w:pPr>
              <w:pStyle w:val="72"/>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书面形式</w:t>
            </w:r>
          </w:p>
        </w:tc>
      </w:tr>
      <w:tr w14:paraId="003D1AD7">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03BD860D">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2.2.3</w:t>
            </w:r>
          </w:p>
        </w:tc>
        <w:tc>
          <w:tcPr>
            <w:tcW w:w="2024" w:type="dxa"/>
            <w:tcBorders>
              <w:top w:val="single" w:color="auto" w:sz="8" w:space="0"/>
              <w:left w:val="nil"/>
              <w:bottom w:val="single" w:color="auto" w:sz="8" w:space="0"/>
              <w:right w:val="single" w:color="auto" w:sz="8" w:space="0"/>
            </w:tcBorders>
            <w:vAlign w:val="center"/>
          </w:tcPr>
          <w:p w14:paraId="7849E4BE">
            <w:pPr>
              <w:pStyle w:val="72"/>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投标人确认收到</w:t>
            </w:r>
            <w:r>
              <w:rPr>
                <w:rFonts w:hint="eastAsia" w:ascii="宋体" w:hAnsi="宋体" w:cs="宋体"/>
                <w:i w:val="0"/>
                <w:iCs w:val="0"/>
                <w:color w:val="auto"/>
                <w:kern w:val="2"/>
                <w:sz w:val="24"/>
                <w:szCs w:val="24"/>
                <w:highlight w:val="none"/>
                <w:lang w:eastAsia="zh-CN"/>
              </w:rPr>
              <w:t>招标文件</w:t>
            </w:r>
            <w:r>
              <w:rPr>
                <w:rFonts w:hint="eastAsia" w:ascii="宋体" w:hAnsi="宋体" w:cs="宋体"/>
                <w:i w:val="0"/>
                <w:iCs w:val="0"/>
                <w:color w:val="auto"/>
                <w:kern w:val="2"/>
                <w:sz w:val="24"/>
                <w:szCs w:val="24"/>
                <w:highlight w:val="none"/>
              </w:rPr>
              <w:t>澄清通知</w:t>
            </w:r>
          </w:p>
        </w:tc>
        <w:tc>
          <w:tcPr>
            <w:tcW w:w="6799" w:type="dxa"/>
            <w:tcBorders>
              <w:top w:val="single" w:color="auto" w:sz="8" w:space="0"/>
              <w:left w:val="nil"/>
              <w:bottom w:val="single" w:color="auto" w:sz="8" w:space="0"/>
              <w:right w:val="single" w:color="auto" w:sz="8" w:space="0"/>
            </w:tcBorders>
            <w:vAlign w:val="center"/>
          </w:tcPr>
          <w:p w14:paraId="32ECECC9">
            <w:pPr>
              <w:pStyle w:val="72"/>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时间：24小时内</w:t>
            </w:r>
          </w:p>
          <w:p w14:paraId="224FE123">
            <w:pPr>
              <w:pStyle w:val="72"/>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形式：盖章确认后，以电子邮件形式向</w:t>
            </w:r>
            <w:r>
              <w:rPr>
                <w:rFonts w:hint="eastAsia" w:ascii="宋体" w:hAnsi="宋体" w:cs="宋体"/>
                <w:i w:val="0"/>
                <w:iCs w:val="0"/>
                <w:color w:val="auto"/>
                <w:kern w:val="2"/>
                <w:sz w:val="24"/>
                <w:szCs w:val="24"/>
                <w:highlight w:val="none"/>
                <w:lang w:eastAsia="zh-CN"/>
              </w:rPr>
              <w:t>采购人</w:t>
            </w:r>
            <w:r>
              <w:rPr>
                <w:rFonts w:hint="eastAsia" w:ascii="宋体" w:hAnsi="宋体" w:cs="宋体"/>
                <w:i w:val="0"/>
                <w:iCs w:val="0"/>
                <w:color w:val="auto"/>
                <w:kern w:val="2"/>
                <w:sz w:val="24"/>
                <w:szCs w:val="24"/>
                <w:highlight w:val="none"/>
              </w:rPr>
              <w:t>发送扫描件</w:t>
            </w:r>
          </w:p>
          <w:p w14:paraId="28DE6115">
            <w:pPr>
              <w:pStyle w:val="72"/>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电子邮箱：</w:t>
            </w:r>
            <w:r>
              <w:rPr>
                <w:rFonts w:hint="eastAsia" w:ascii="宋体" w:hAnsi="宋体" w:cs="宋体"/>
                <w:i w:val="0"/>
                <w:iCs w:val="0"/>
                <w:color w:val="auto"/>
                <w:kern w:val="2"/>
                <w:sz w:val="24"/>
                <w:szCs w:val="24"/>
                <w:highlight w:val="none"/>
                <w:u w:val="single"/>
                <w:lang w:val="en-US" w:eastAsia="zh-CN"/>
              </w:rPr>
              <w:t>18988261612</w:t>
            </w:r>
            <w:r>
              <w:rPr>
                <w:rFonts w:hint="eastAsia" w:ascii="宋体" w:hAnsi="宋体" w:cs="宋体"/>
                <w:i w:val="0"/>
                <w:iCs w:val="0"/>
                <w:color w:val="auto"/>
                <w:kern w:val="2"/>
                <w:sz w:val="24"/>
                <w:szCs w:val="24"/>
                <w:highlight w:val="none"/>
                <w:u w:val="single"/>
              </w:rPr>
              <w:t>@</w:t>
            </w:r>
            <w:r>
              <w:rPr>
                <w:rFonts w:hint="eastAsia" w:ascii="宋体" w:hAnsi="宋体" w:cs="宋体"/>
                <w:i w:val="0"/>
                <w:iCs w:val="0"/>
                <w:color w:val="auto"/>
                <w:kern w:val="2"/>
                <w:sz w:val="24"/>
                <w:szCs w:val="24"/>
                <w:highlight w:val="none"/>
                <w:u w:val="single"/>
                <w:lang w:val="en-US" w:eastAsia="zh-CN"/>
              </w:rPr>
              <w:t>163</w:t>
            </w:r>
            <w:r>
              <w:rPr>
                <w:rFonts w:hint="eastAsia" w:ascii="宋体" w:hAnsi="宋体" w:cs="宋体"/>
                <w:i w:val="0"/>
                <w:iCs w:val="0"/>
                <w:color w:val="auto"/>
                <w:kern w:val="2"/>
                <w:sz w:val="24"/>
                <w:szCs w:val="24"/>
                <w:highlight w:val="none"/>
                <w:u w:val="single"/>
              </w:rPr>
              <w:t>.com</w:t>
            </w:r>
          </w:p>
        </w:tc>
      </w:tr>
      <w:tr w14:paraId="4ACE171C">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7B14B1FB">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2.3.1</w:t>
            </w:r>
          </w:p>
        </w:tc>
        <w:tc>
          <w:tcPr>
            <w:tcW w:w="2024" w:type="dxa"/>
            <w:tcBorders>
              <w:top w:val="single" w:color="auto" w:sz="8" w:space="0"/>
              <w:left w:val="nil"/>
              <w:bottom w:val="single" w:color="auto" w:sz="8" w:space="0"/>
              <w:right w:val="single" w:color="auto" w:sz="8" w:space="0"/>
            </w:tcBorders>
            <w:vAlign w:val="center"/>
          </w:tcPr>
          <w:p w14:paraId="6D585A5E">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招标文件</w:t>
            </w:r>
            <w:r>
              <w:rPr>
                <w:rFonts w:hint="eastAsia" w:ascii="宋体" w:hAnsi="宋体" w:cs="宋体"/>
                <w:i w:val="0"/>
                <w:iCs w:val="0"/>
                <w:color w:val="auto"/>
                <w:kern w:val="2"/>
                <w:sz w:val="24"/>
                <w:szCs w:val="24"/>
                <w:highlight w:val="none"/>
              </w:rPr>
              <w:t>修改发出的形式</w:t>
            </w:r>
          </w:p>
        </w:tc>
        <w:tc>
          <w:tcPr>
            <w:tcW w:w="6799" w:type="dxa"/>
            <w:tcBorders>
              <w:top w:val="single" w:color="auto" w:sz="8" w:space="0"/>
              <w:left w:val="nil"/>
              <w:bottom w:val="single" w:color="auto" w:sz="8" w:space="0"/>
              <w:right w:val="single" w:color="auto" w:sz="8" w:space="0"/>
            </w:tcBorders>
            <w:vAlign w:val="center"/>
          </w:tcPr>
          <w:p w14:paraId="77E1353A">
            <w:pPr>
              <w:pStyle w:val="72"/>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书面形式</w:t>
            </w:r>
          </w:p>
        </w:tc>
      </w:tr>
      <w:tr w14:paraId="40C1FEBE">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5AEC3336">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2.3.2</w:t>
            </w:r>
          </w:p>
        </w:tc>
        <w:tc>
          <w:tcPr>
            <w:tcW w:w="2024" w:type="dxa"/>
            <w:tcBorders>
              <w:top w:val="single" w:color="auto" w:sz="8" w:space="0"/>
              <w:left w:val="nil"/>
              <w:bottom w:val="single" w:color="auto" w:sz="8" w:space="0"/>
              <w:right w:val="single" w:color="auto" w:sz="8" w:space="0"/>
            </w:tcBorders>
            <w:vAlign w:val="center"/>
          </w:tcPr>
          <w:p w14:paraId="414CC90C">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投标人确认收到</w:t>
            </w:r>
            <w:r>
              <w:rPr>
                <w:rFonts w:hint="eastAsia" w:ascii="宋体" w:hAnsi="宋体" w:cs="宋体"/>
                <w:i w:val="0"/>
                <w:iCs w:val="0"/>
                <w:color w:val="auto"/>
                <w:kern w:val="2"/>
                <w:sz w:val="24"/>
                <w:szCs w:val="24"/>
                <w:highlight w:val="none"/>
                <w:lang w:eastAsia="zh-CN"/>
              </w:rPr>
              <w:t>招标文件</w:t>
            </w:r>
            <w:r>
              <w:rPr>
                <w:rFonts w:hint="eastAsia" w:ascii="宋体" w:hAnsi="宋体" w:cs="宋体"/>
                <w:i w:val="0"/>
                <w:iCs w:val="0"/>
                <w:color w:val="auto"/>
                <w:kern w:val="2"/>
                <w:sz w:val="24"/>
                <w:szCs w:val="24"/>
                <w:highlight w:val="none"/>
              </w:rPr>
              <w:t>修改</w:t>
            </w:r>
          </w:p>
        </w:tc>
        <w:tc>
          <w:tcPr>
            <w:tcW w:w="6799" w:type="dxa"/>
            <w:tcBorders>
              <w:top w:val="single" w:color="auto" w:sz="8" w:space="0"/>
              <w:left w:val="nil"/>
              <w:bottom w:val="single" w:color="auto" w:sz="8" w:space="0"/>
              <w:right w:val="single" w:color="auto" w:sz="8" w:space="0"/>
            </w:tcBorders>
            <w:vAlign w:val="center"/>
          </w:tcPr>
          <w:p w14:paraId="4501B529">
            <w:pPr>
              <w:pStyle w:val="72"/>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时间：24小时内</w:t>
            </w:r>
          </w:p>
          <w:p w14:paraId="144D6E10">
            <w:pPr>
              <w:pStyle w:val="72"/>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形式：盖章确认后，以电子邮件形式向</w:t>
            </w:r>
            <w:r>
              <w:rPr>
                <w:rFonts w:hint="eastAsia" w:ascii="宋体" w:hAnsi="宋体" w:cs="宋体"/>
                <w:i w:val="0"/>
                <w:iCs w:val="0"/>
                <w:color w:val="auto"/>
                <w:kern w:val="2"/>
                <w:sz w:val="24"/>
                <w:szCs w:val="24"/>
                <w:highlight w:val="none"/>
                <w:lang w:eastAsia="zh-CN"/>
              </w:rPr>
              <w:t>采购人</w:t>
            </w:r>
            <w:r>
              <w:rPr>
                <w:rFonts w:hint="eastAsia" w:ascii="宋体" w:hAnsi="宋体" w:cs="宋体"/>
                <w:i w:val="0"/>
                <w:iCs w:val="0"/>
                <w:color w:val="auto"/>
                <w:kern w:val="2"/>
                <w:sz w:val="24"/>
                <w:szCs w:val="24"/>
                <w:highlight w:val="none"/>
              </w:rPr>
              <w:t>发送扫描件</w:t>
            </w:r>
          </w:p>
          <w:p w14:paraId="384CF21D">
            <w:pPr>
              <w:pStyle w:val="72"/>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电子邮箱：</w:t>
            </w:r>
            <w:r>
              <w:rPr>
                <w:rFonts w:hint="eastAsia" w:ascii="宋体" w:hAnsi="宋体" w:cs="宋体"/>
                <w:i w:val="0"/>
                <w:iCs w:val="0"/>
                <w:color w:val="auto"/>
                <w:kern w:val="2"/>
                <w:sz w:val="24"/>
                <w:szCs w:val="24"/>
                <w:highlight w:val="none"/>
                <w:u w:val="single"/>
                <w:lang w:val="en-US" w:eastAsia="zh-CN"/>
              </w:rPr>
              <w:t>18988261612</w:t>
            </w:r>
            <w:r>
              <w:rPr>
                <w:rFonts w:hint="eastAsia" w:ascii="宋体" w:hAnsi="宋体" w:cs="宋体"/>
                <w:i w:val="0"/>
                <w:iCs w:val="0"/>
                <w:color w:val="auto"/>
                <w:kern w:val="2"/>
                <w:sz w:val="24"/>
                <w:szCs w:val="24"/>
                <w:highlight w:val="none"/>
                <w:u w:val="single"/>
              </w:rPr>
              <w:t>@</w:t>
            </w:r>
            <w:r>
              <w:rPr>
                <w:rFonts w:hint="eastAsia" w:ascii="宋体" w:hAnsi="宋体" w:cs="宋体"/>
                <w:i w:val="0"/>
                <w:iCs w:val="0"/>
                <w:color w:val="auto"/>
                <w:kern w:val="2"/>
                <w:sz w:val="24"/>
                <w:szCs w:val="24"/>
                <w:highlight w:val="none"/>
                <w:u w:val="single"/>
                <w:lang w:val="en-US" w:eastAsia="zh-CN"/>
              </w:rPr>
              <w:t>163</w:t>
            </w:r>
            <w:r>
              <w:rPr>
                <w:rFonts w:hint="eastAsia" w:ascii="宋体" w:hAnsi="宋体" w:cs="宋体"/>
                <w:i w:val="0"/>
                <w:iCs w:val="0"/>
                <w:color w:val="auto"/>
                <w:kern w:val="2"/>
                <w:sz w:val="24"/>
                <w:szCs w:val="24"/>
                <w:highlight w:val="none"/>
                <w:u w:val="single"/>
              </w:rPr>
              <w:t>.com</w:t>
            </w:r>
          </w:p>
        </w:tc>
      </w:tr>
      <w:tr w14:paraId="25947D7D">
        <w:tblPrEx>
          <w:tblCellMar>
            <w:top w:w="0" w:type="dxa"/>
            <w:left w:w="0" w:type="dxa"/>
            <w:bottom w:w="0" w:type="dxa"/>
            <w:right w:w="0" w:type="dxa"/>
          </w:tblCellMar>
        </w:tblPrEx>
        <w:trPr>
          <w:trHeight w:val="853"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40324920">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3.2.3</w:t>
            </w:r>
          </w:p>
        </w:tc>
        <w:tc>
          <w:tcPr>
            <w:tcW w:w="2024" w:type="dxa"/>
            <w:tcBorders>
              <w:top w:val="single" w:color="auto" w:sz="8" w:space="0"/>
              <w:left w:val="nil"/>
              <w:bottom w:val="single" w:color="auto" w:sz="8" w:space="0"/>
              <w:right w:val="single" w:color="auto" w:sz="8" w:space="0"/>
            </w:tcBorders>
            <w:vAlign w:val="center"/>
          </w:tcPr>
          <w:p w14:paraId="37EAA946">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sz w:val="24"/>
                <w:szCs w:val="24"/>
                <w:highlight w:val="none"/>
              </w:rPr>
              <w:t>预算金额(</w:t>
            </w:r>
            <w:r>
              <w:rPr>
                <w:rFonts w:hint="eastAsia" w:ascii="宋体" w:hAnsi="宋体" w:cs="宋体"/>
                <w:i w:val="0"/>
                <w:iCs w:val="0"/>
                <w:color w:val="auto"/>
                <w:sz w:val="24"/>
                <w:szCs w:val="24"/>
                <w:highlight w:val="none"/>
                <w:lang w:val="en-US" w:eastAsia="zh-CN"/>
              </w:rPr>
              <w:t>最高限价</w:t>
            </w:r>
            <w:r>
              <w:rPr>
                <w:rFonts w:hint="eastAsia" w:ascii="宋体" w:hAnsi="宋体" w:cs="宋体"/>
                <w:i w:val="0"/>
                <w:iCs w:val="0"/>
                <w:color w:val="auto"/>
                <w:sz w:val="24"/>
                <w:szCs w:val="24"/>
                <w:highlight w:val="none"/>
              </w:rPr>
              <w:t>)</w:t>
            </w:r>
          </w:p>
        </w:tc>
        <w:tc>
          <w:tcPr>
            <w:tcW w:w="6799" w:type="dxa"/>
            <w:tcBorders>
              <w:top w:val="single" w:color="auto" w:sz="8" w:space="0"/>
              <w:left w:val="nil"/>
              <w:bottom w:val="single" w:color="auto" w:sz="8" w:space="0"/>
              <w:right w:val="single" w:color="auto" w:sz="8" w:space="0"/>
            </w:tcBorders>
            <w:vAlign w:val="center"/>
          </w:tcPr>
          <w:p w14:paraId="5BB842D8">
            <w:pPr>
              <w:pStyle w:val="72"/>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val="en-US" w:eastAsia="zh-CN"/>
              </w:rPr>
              <w:t>400000.00</w:t>
            </w:r>
            <w:r>
              <w:rPr>
                <w:rFonts w:hint="eastAsia" w:ascii="宋体" w:hAnsi="宋体" w:cs="宋体"/>
                <w:i w:val="0"/>
                <w:iCs w:val="0"/>
                <w:color w:val="auto"/>
                <w:kern w:val="2"/>
                <w:sz w:val="24"/>
                <w:szCs w:val="24"/>
                <w:highlight w:val="none"/>
                <w:lang w:eastAsia="zh-CN"/>
              </w:rPr>
              <w:t>元。</w:t>
            </w:r>
          </w:p>
        </w:tc>
      </w:tr>
      <w:tr w14:paraId="76F88941">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62B44DB0">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3.2.4</w:t>
            </w:r>
          </w:p>
        </w:tc>
        <w:tc>
          <w:tcPr>
            <w:tcW w:w="2024" w:type="dxa"/>
            <w:tcBorders>
              <w:top w:val="single" w:color="auto" w:sz="8" w:space="0"/>
              <w:left w:val="nil"/>
              <w:bottom w:val="single" w:color="auto" w:sz="8" w:space="0"/>
              <w:right w:val="single" w:color="auto" w:sz="8" w:space="0"/>
            </w:tcBorders>
            <w:vAlign w:val="center"/>
          </w:tcPr>
          <w:p w14:paraId="3F9D9201">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投标报价的其他要求</w:t>
            </w:r>
          </w:p>
        </w:tc>
        <w:tc>
          <w:tcPr>
            <w:tcW w:w="6799" w:type="dxa"/>
            <w:tcBorders>
              <w:top w:val="single" w:color="auto" w:sz="8" w:space="0"/>
              <w:left w:val="nil"/>
              <w:bottom w:val="single" w:color="auto" w:sz="8" w:space="0"/>
              <w:right w:val="single" w:color="auto" w:sz="8" w:space="0"/>
            </w:tcBorders>
            <w:vAlign w:val="center"/>
          </w:tcPr>
          <w:p w14:paraId="5FB6B26F">
            <w:pPr>
              <w:pStyle w:val="72"/>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(1)本次投标报价为综合报价，报价应为人民币含税价（元），</w:t>
            </w:r>
            <w:r>
              <w:rPr>
                <w:rFonts w:hint="eastAsia" w:ascii="宋体" w:hAnsi="宋体" w:cs="宋体"/>
                <w:i w:val="0"/>
                <w:iCs w:val="0"/>
                <w:color w:val="auto"/>
                <w:kern w:val="2"/>
                <w:sz w:val="24"/>
                <w:szCs w:val="24"/>
                <w:highlight w:val="none"/>
                <w:u w:val="single"/>
              </w:rPr>
              <w:t>包括服务成本价格（含利润）、保险、税收、培训、售后服务、中标服务费</w:t>
            </w:r>
            <w:r>
              <w:rPr>
                <w:rFonts w:hint="eastAsia" w:ascii="宋体" w:hAnsi="宋体" w:cs="宋体"/>
                <w:i w:val="0"/>
                <w:iCs w:val="0"/>
                <w:color w:val="auto"/>
                <w:kern w:val="2"/>
                <w:sz w:val="24"/>
                <w:szCs w:val="24"/>
                <w:highlight w:val="none"/>
              </w:rPr>
              <w:t>等所有一切费用。</w:t>
            </w:r>
          </w:p>
          <w:p w14:paraId="22BDD543">
            <w:pPr>
              <w:pStyle w:val="72"/>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(2)投标人应承担所有与参加</w:t>
            </w:r>
            <w:r>
              <w:rPr>
                <w:rFonts w:hint="eastAsia" w:ascii="宋体" w:hAnsi="宋体" w:cs="宋体"/>
                <w:i w:val="0"/>
                <w:iCs w:val="0"/>
                <w:color w:val="auto"/>
                <w:kern w:val="2"/>
                <w:sz w:val="24"/>
                <w:szCs w:val="24"/>
                <w:highlight w:val="none"/>
                <w:lang w:eastAsia="zh-CN"/>
              </w:rPr>
              <w:t>招标</w:t>
            </w:r>
            <w:r>
              <w:rPr>
                <w:rFonts w:hint="eastAsia" w:ascii="宋体" w:hAnsi="宋体" w:cs="宋体"/>
                <w:i w:val="0"/>
                <w:iCs w:val="0"/>
                <w:color w:val="auto"/>
                <w:kern w:val="2"/>
                <w:sz w:val="24"/>
                <w:szCs w:val="24"/>
                <w:highlight w:val="none"/>
              </w:rPr>
              <w:t>有关的自身的所有费用，不论</w:t>
            </w:r>
            <w:r>
              <w:rPr>
                <w:rFonts w:hint="eastAsia" w:ascii="宋体" w:hAnsi="宋体" w:cs="宋体"/>
                <w:i w:val="0"/>
                <w:iCs w:val="0"/>
                <w:color w:val="auto"/>
                <w:kern w:val="2"/>
                <w:sz w:val="24"/>
                <w:szCs w:val="24"/>
                <w:highlight w:val="none"/>
                <w:lang w:eastAsia="zh-CN"/>
              </w:rPr>
              <w:t>招标</w:t>
            </w:r>
            <w:r>
              <w:rPr>
                <w:rFonts w:hint="eastAsia" w:ascii="宋体" w:hAnsi="宋体" w:cs="宋体"/>
                <w:i w:val="0"/>
                <w:iCs w:val="0"/>
                <w:color w:val="auto"/>
                <w:kern w:val="2"/>
                <w:sz w:val="24"/>
                <w:szCs w:val="24"/>
                <w:highlight w:val="none"/>
              </w:rPr>
              <w:t>的结果如何，</w:t>
            </w:r>
            <w:r>
              <w:rPr>
                <w:rFonts w:hint="eastAsia" w:ascii="宋体" w:hAnsi="宋体" w:cs="宋体"/>
                <w:i w:val="0"/>
                <w:iCs w:val="0"/>
                <w:color w:val="auto"/>
                <w:kern w:val="2"/>
                <w:sz w:val="24"/>
                <w:szCs w:val="24"/>
                <w:highlight w:val="none"/>
                <w:lang w:eastAsia="zh-CN"/>
              </w:rPr>
              <w:t>采购人</w:t>
            </w:r>
            <w:r>
              <w:rPr>
                <w:rFonts w:hint="eastAsia" w:ascii="宋体" w:hAnsi="宋体" w:cs="宋体"/>
                <w:i w:val="0"/>
                <w:iCs w:val="0"/>
                <w:color w:val="auto"/>
                <w:kern w:val="2"/>
                <w:sz w:val="24"/>
                <w:szCs w:val="24"/>
                <w:highlight w:val="none"/>
              </w:rPr>
              <w:t>在任何情况下均无义务和责任承担这些费用。</w:t>
            </w:r>
          </w:p>
        </w:tc>
      </w:tr>
      <w:tr w14:paraId="04F78A39">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4A7B5E47">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3.3.1</w:t>
            </w:r>
          </w:p>
        </w:tc>
        <w:tc>
          <w:tcPr>
            <w:tcW w:w="2024" w:type="dxa"/>
            <w:tcBorders>
              <w:top w:val="single" w:color="auto" w:sz="8" w:space="0"/>
              <w:left w:val="nil"/>
              <w:bottom w:val="single" w:color="auto" w:sz="8" w:space="0"/>
              <w:right w:val="single" w:color="auto" w:sz="8" w:space="0"/>
            </w:tcBorders>
            <w:vAlign w:val="center"/>
          </w:tcPr>
          <w:p w14:paraId="7D57671F">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投标</w:t>
            </w:r>
            <w:r>
              <w:rPr>
                <w:rFonts w:hint="eastAsia" w:ascii="宋体" w:hAnsi="宋体" w:cs="宋体"/>
                <w:i w:val="0"/>
                <w:iCs w:val="0"/>
                <w:color w:val="auto"/>
                <w:kern w:val="2"/>
                <w:sz w:val="24"/>
                <w:szCs w:val="24"/>
                <w:highlight w:val="none"/>
              </w:rPr>
              <w:t>有效期</w:t>
            </w:r>
          </w:p>
        </w:tc>
        <w:tc>
          <w:tcPr>
            <w:tcW w:w="6799" w:type="dxa"/>
            <w:tcBorders>
              <w:top w:val="single" w:color="auto" w:sz="8" w:space="0"/>
              <w:left w:val="nil"/>
              <w:bottom w:val="single" w:color="auto" w:sz="8" w:space="0"/>
              <w:right w:val="single" w:color="auto" w:sz="8" w:space="0"/>
            </w:tcBorders>
            <w:vAlign w:val="center"/>
          </w:tcPr>
          <w:p w14:paraId="6A81063F">
            <w:pPr>
              <w:pStyle w:val="72"/>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90日历天(从递交</w:t>
            </w:r>
            <w:r>
              <w:rPr>
                <w:rFonts w:hint="eastAsia" w:ascii="宋体" w:hAnsi="宋体" w:cs="宋体"/>
                <w:i w:val="0"/>
                <w:iCs w:val="0"/>
                <w:color w:val="auto"/>
                <w:kern w:val="2"/>
                <w:sz w:val="24"/>
                <w:szCs w:val="24"/>
                <w:highlight w:val="none"/>
                <w:lang w:eastAsia="zh-CN"/>
              </w:rPr>
              <w:t>招标</w:t>
            </w:r>
            <w:r>
              <w:rPr>
                <w:rFonts w:hint="eastAsia" w:ascii="宋体" w:hAnsi="宋体" w:cs="宋体"/>
                <w:i w:val="0"/>
                <w:iCs w:val="0"/>
                <w:color w:val="auto"/>
                <w:kern w:val="2"/>
                <w:sz w:val="24"/>
                <w:szCs w:val="24"/>
                <w:highlight w:val="none"/>
              </w:rPr>
              <w:t>文件的截止之日起算)</w:t>
            </w:r>
          </w:p>
        </w:tc>
      </w:tr>
      <w:tr w14:paraId="73D73A2B">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62A9A774">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3.4.1</w:t>
            </w:r>
          </w:p>
        </w:tc>
        <w:tc>
          <w:tcPr>
            <w:tcW w:w="2024" w:type="dxa"/>
            <w:tcBorders>
              <w:top w:val="single" w:color="auto" w:sz="8" w:space="0"/>
              <w:left w:val="nil"/>
              <w:bottom w:val="single" w:color="auto" w:sz="8" w:space="0"/>
              <w:right w:val="single" w:color="auto" w:sz="8" w:space="0"/>
            </w:tcBorders>
            <w:vAlign w:val="center"/>
          </w:tcPr>
          <w:p w14:paraId="0F4F4107">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投标</w:t>
            </w:r>
            <w:r>
              <w:rPr>
                <w:rFonts w:hint="eastAsia" w:ascii="宋体" w:hAnsi="宋体" w:cs="宋体"/>
                <w:i w:val="0"/>
                <w:iCs w:val="0"/>
                <w:color w:val="auto"/>
                <w:kern w:val="2"/>
                <w:sz w:val="24"/>
                <w:szCs w:val="24"/>
                <w:highlight w:val="none"/>
              </w:rPr>
              <w:t>保证金</w:t>
            </w:r>
          </w:p>
        </w:tc>
        <w:tc>
          <w:tcPr>
            <w:tcW w:w="6799" w:type="dxa"/>
            <w:tcBorders>
              <w:top w:val="single" w:color="auto" w:sz="8" w:space="0"/>
              <w:left w:val="nil"/>
              <w:bottom w:val="single" w:color="auto" w:sz="8" w:space="0"/>
              <w:right w:val="single" w:color="auto" w:sz="8" w:space="0"/>
            </w:tcBorders>
            <w:vAlign w:val="center"/>
          </w:tcPr>
          <w:p w14:paraId="36F3FD5B">
            <w:pPr>
              <w:autoSpaceDE w:val="0"/>
              <w:autoSpaceDN w:val="0"/>
              <w:spacing w:line="420" w:lineRule="exact"/>
              <w:rPr>
                <w:rFonts w:hint="eastAsia" w:ascii="宋体" w:hAnsi="宋体" w:eastAsia="宋体" w:cs="宋体"/>
                <w:i w:val="0"/>
                <w:iCs w:val="0"/>
                <w:color w:val="auto"/>
                <w:kern w:val="2"/>
                <w:sz w:val="24"/>
                <w:szCs w:val="24"/>
                <w:highlight w:val="none"/>
                <w:lang w:eastAsia="zh-CN"/>
              </w:rPr>
            </w:pPr>
            <w:r>
              <w:rPr>
                <w:rFonts w:hint="eastAsia" w:ascii="宋体" w:hAnsi="宋体" w:cs="宋体"/>
                <w:i w:val="0"/>
                <w:iCs w:val="0"/>
                <w:color w:val="auto"/>
                <w:kern w:val="2"/>
                <w:sz w:val="24"/>
                <w:szCs w:val="24"/>
                <w:highlight w:val="none"/>
                <w:lang w:eastAsia="zh-CN"/>
              </w:rPr>
              <w:t>不收取</w:t>
            </w:r>
          </w:p>
        </w:tc>
      </w:tr>
      <w:tr w14:paraId="2FFC12A0">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367247C0">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3.5.</w:t>
            </w:r>
            <w:r>
              <w:rPr>
                <w:rFonts w:hint="eastAsia" w:ascii="宋体" w:hAnsi="宋体" w:cs="宋体"/>
                <w:i w:val="0"/>
                <w:iCs w:val="0"/>
                <w:color w:val="auto"/>
                <w:kern w:val="2"/>
                <w:sz w:val="24"/>
                <w:szCs w:val="24"/>
                <w:highlight w:val="none"/>
                <w:lang w:val="en-US" w:eastAsia="zh-CN"/>
              </w:rPr>
              <w:t>2</w:t>
            </w:r>
            <w:r>
              <w:rPr>
                <w:rFonts w:hint="eastAsia" w:ascii="宋体" w:hAnsi="宋体" w:cs="宋体"/>
                <w:i w:val="0"/>
                <w:iCs w:val="0"/>
                <w:color w:val="auto"/>
                <w:kern w:val="2"/>
                <w:sz w:val="24"/>
                <w:szCs w:val="24"/>
                <w:highlight w:val="none"/>
              </w:rPr>
              <w:t>（2）</w:t>
            </w:r>
          </w:p>
        </w:tc>
        <w:tc>
          <w:tcPr>
            <w:tcW w:w="2024" w:type="dxa"/>
            <w:tcBorders>
              <w:top w:val="single" w:color="auto" w:sz="8" w:space="0"/>
              <w:left w:val="nil"/>
              <w:bottom w:val="single" w:color="auto" w:sz="8" w:space="0"/>
              <w:right w:val="single" w:color="auto" w:sz="8" w:space="0"/>
            </w:tcBorders>
            <w:vAlign w:val="center"/>
          </w:tcPr>
          <w:p w14:paraId="1D1E6672">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投标</w:t>
            </w:r>
            <w:r>
              <w:rPr>
                <w:rFonts w:hint="eastAsia" w:ascii="宋体" w:hAnsi="宋体" w:cs="宋体"/>
                <w:i w:val="0"/>
                <w:iCs w:val="0"/>
                <w:color w:val="auto"/>
                <w:kern w:val="2"/>
                <w:sz w:val="24"/>
                <w:szCs w:val="24"/>
                <w:highlight w:val="none"/>
              </w:rPr>
              <w:t>文件份数及其他要求</w:t>
            </w:r>
          </w:p>
        </w:tc>
        <w:tc>
          <w:tcPr>
            <w:tcW w:w="6799" w:type="dxa"/>
            <w:tcBorders>
              <w:top w:val="single" w:color="auto" w:sz="8" w:space="0"/>
              <w:left w:val="nil"/>
              <w:bottom w:val="single" w:color="auto" w:sz="8" w:space="0"/>
              <w:right w:val="single" w:color="auto" w:sz="8" w:space="0"/>
            </w:tcBorders>
            <w:vAlign w:val="center"/>
          </w:tcPr>
          <w:p w14:paraId="6D937738">
            <w:pPr>
              <w:pStyle w:val="74"/>
              <w:spacing w:line="420" w:lineRule="exact"/>
              <w:rPr>
                <w:i w:val="0"/>
                <w:iCs w:val="0"/>
                <w:color w:val="auto"/>
                <w:sz w:val="24"/>
                <w:szCs w:val="24"/>
                <w:highlight w:val="none"/>
                <w:lang w:eastAsia="zh-CN"/>
              </w:rPr>
            </w:pPr>
            <w:r>
              <w:rPr>
                <w:rFonts w:hint="eastAsia"/>
                <w:i w:val="0"/>
                <w:iCs w:val="0"/>
                <w:color w:val="auto"/>
                <w:sz w:val="24"/>
                <w:szCs w:val="24"/>
                <w:highlight w:val="none"/>
                <w:lang w:eastAsia="zh-CN"/>
              </w:rPr>
              <w:t>投标文件正本、副本份数各：</w:t>
            </w:r>
            <w:r>
              <w:rPr>
                <w:rFonts w:hint="eastAsia"/>
                <w:i w:val="0"/>
                <w:iCs w:val="0"/>
                <w:color w:val="auto"/>
                <w:sz w:val="24"/>
                <w:szCs w:val="24"/>
                <w:highlight w:val="none"/>
                <w:u w:val="single"/>
                <w:lang w:eastAsia="zh-CN"/>
              </w:rPr>
              <w:t>1</w:t>
            </w:r>
            <w:r>
              <w:rPr>
                <w:rFonts w:hint="eastAsia"/>
                <w:i w:val="0"/>
                <w:iCs w:val="0"/>
                <w:color w:val="auto"/>
                <w:sz w:val="24"/>
                <w:szCs w:val="24"/>
                <w:highlight w:val="none"/>
                <w:lang w:eastAsia="zh-CN"/>
              </w:rPr>
              <w:t>份。</w:t>
            </w:r>
          </w:p>
          <w:p w14:paraId="6230C9E0">
            <w:pPr>
              <w:spacing w:line="40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电子版文件：</w:t>
            </w:r>
            <w:r>
              <w:rPr>
                <w:rFonts w:hint="eastAsia" w:ascii="宋体" w:hAnsi="宋体" w:cs="宋体"/>
                <w:i w:val="0"/>
                <w:iCs w:val="0"/>
                <w:color w:val="auto"/>
                <w:kern w:val="2"/>
                <w:sz w:val="24"/>
                <w:szCs w:val="24"/>
                <w:highlight w:val="none"/>
                <w:u w:val="single"/>
              </w:rPr>
              <w:t>1</w:t>
            </w:r>
            <w:r>
              <w:rPr>
                <w:rFonts w:hint="eastAsia" w:ascii="宋体" w:hAnsi="宋体" w:cs="宋体"/>
                <w:i w:val="0"/>
                <w:iCs w:val="0"/>
                <w:color w:val="auto"/>
                <w:kern w:val="2"/>
                <w:sz w:val="24"/>
                <w:szCs w:val="24"/>
                <w:highlight w:val="none"/>
                <w:u w:val="none"/>
              </w:rPr>
              <w:t>份U盘</w:t>
            </w:r>
            <w:r>
              <w:rPr>
                <w:rFonts w:hint="eastAsia" w:ascii="宋体" w:hAnsi="宋体" w:cs="宋体"/>
                <w:i w:val="0"/>
                <w:iCs w:val="0"/>
                <w:color w:val="auto"/>
                <w:kern w:val="2"/>
                <w:sz w:val="24"/>
                <w:szCs w:val="24"/>
                <w:highlight w:val="none"/>
              </w:rPr>
              <w:t>,具体要求：</w:t>
            </w:r>
            <w:r>
              <w:rPr>
                <w:rFonts w:hint="eastAsia" w:ascii="宋体" w:hAnsi="宋体" w:cs="宋体"/>
                <w:i w:val="0"/>
                <w:iCs w:val="0"/>
                <w:color w:val="auto"/>
                <w:kern w:val="2"/>
                <w:sz w:val="24"/>
                <w:szCs w:val="24"/>
                <w:highlight w:val="none"/>
                <w:u w:val="single"/>
              </w:rPr>
              <w:t>每份U盘里的电子版本需为签字、盖章后的PDF格式(内容与正本完全一致)1份</w:t>
            </w:r>
            <w:r>
              <w:rPr>
                <w:rFonts w:hint="eastAsia" w:ascii="宋体" w:hAnsi="宋体" w:cs="宋体"/>
                <w:i w:val="0"/>
                <w:iCs w:val="0"/>
                <w:color w:val="auto"/>
                <w:kern w:val="2"/>
                <w:sz w:val="24"/>
                <w:szCs w:val="24"/>
                <w:highlight w:val="none"/>
                <w:u w:val="single"/>
                <w:lang w:eastAsia="zh-CN"/>
              </w:rPr>
              <w:t>，</w:t>
            </w:r>
            <w:r>
              <w:rPr>
                <w:rFonts w:hint="eastAsia" w:ascii="宋体" w:hAnsi="宋体" w:cs="宋体"/>
                <w:i w:val="0"/>
                <w:iCs w:val="0"/>
                <w:color w:val="auto"/>
                <w:kern w:val="2"/>
                <w:sz w:val="24"/>
                <w:szCs w:val="24"/>
                <w:highlight w:val="none"/>
                <w:u w:val="single"/>
              </w:rPr>
              <w:t>不退还。</w:t>
            </w:r>
          </w:p>
          <w:p w14:paraId="7C781959">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sz w:val="24"/>
                <w:szCs w:val="24"/>
                <w:highlight w:val="none"/>
              </w:rPr>
              <w:t>其他要求：</w:t>
            </w:r>
            <w:r>
              <w:rPr>
                <w:rFonts w:hint="eastAsia" w:ascii="宋体" w:hAnsi="宋体" w:cs="宋体"/>
                <w:i w:val="0"/>
                <w:iCs w:val="0"/>
                <w:color w:val="auto"/>
                <w:kern w:val="2"/>
                <w:sz w:val="24"/>
                <w:szCs w:val="24"/>
                <w:highlight w:val="none"/>
                <w:u w:val="single"/>
              </w:rPr>
              <w:t>/</w:t>
            </w:r>
          </w:p>
        </w:tc>
      </w:tr>
      <w:tr w14:paraId="214AE534">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74B39475">
            <w:pPr>
              <w:spacing w:line="44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4.1.1</w:t>
            </w:r>
          </w:p>
        </w:tc>
        <w:tc>
          <w:tcPr>
            <w:tcW w:w="2024" w:type="dxa"/>
            <w:tcBorders>
              <w:top w:val="single" w:color="auto" w:sz="8" w:space="0"/>
              <w:left w:val="nil"/>
              <w:bottom w:val="single" w:color="auto" w:sz="8" w:space="0"/>
              <w:right w:val="single" w:color="auto" w:sz="8" w:space="0"/>
            </w:tcBorders>
            <w:vAlign w:val="center"/>
          </w:tcPr>
          <w:p w14:paraId="2BC91F65">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sz w:val="24"/>
                <w:szCs w:val="24"/>
                <w:highlight w:val="none"/>
                <w:lang w:eastAsia="zh-CN"/>
              </w:rPr>
              <w:t>投标</w:t>
            </w:r>
            <w:r>
              <w:rPr>
                <w:rFonts w:hint="eastAsia" w:ascii="宋体" w:hAnsi="宋体" w:cs="宋体"/>
                <w:i w:val="0"/>
                <w:iCs w:val="0"/>
                <w:color w:val="auto"/>
                <w:sz w:val="24"/>
                <w:szCs w:val="24"/>
                <w:highlight w:val="none"/>
              </w:rPr>
              <w:t>文件</w:t>
            </w:r>
            <w:r>
              <w:rPr>
                <w:rFonts w:hint="eastAsia" w:ascii="宋体" w:hAnsi="宋体" w:cs="宋体"/>
                <w:i w:val="0"/>
                <w:iCs w:val="0"/>
                <w:color w:val="auto"/>
                <w:sz w:val="24"/>
                <w:highlight w:val="none"/>
              </w:rPr>
              <w:t>密封要求</w:t>
            </w:r>
            <w:r>
              <w:rPr>
                <w:rFonts w:hint="eastAsia" w:ascii="宋体" w:hAnsi="宋体" w:cs="宋体"/>
                <w:i w:val="0"/>
                <w:iCs w:val="0"/>
                <w:color w:val="auto"/>
                <w:sz w:val="24"/>
                <w:szCs w:val="24"/>
                <w:highlight w:val="none"/>
              </w:rPr>
              <w:t>和封套上应载明的信息</w:t>
            </w:r>
          </w:p>
        </w:tc>
        <w:tc>
          <w:tcPr>
            <w:tcW w:w="6799" w:type="dxa"/>
            <w:tcBorders>
              <w:top w:val="single" w:color="auto" w:sz="8" w:space="0"/>
              <w:left w:val="nil"/>
              <w:bottom w:val="single" w:color="auto" w:sz="8" w:space="0"/>
              <w:right w:val="single" w:color="auto" w:sz="8" w:space="0"/>
            </w:tcBorders>
            <w:vAlign w:val="center"/>
          </w:tcPr>
          <w:p w14:paraId="1FAD25F1">
            <w:pPr>
              <w:spacing w:line="400" w:lineRule="exact"/>
              <w:rPr>
                <w:rFonts w:ascii="宋体" w:hAnsi="宋体" w:cs="宋体"/>
                <w:i w:val="0"/>
                <w:iCs w:val="0"/>
                <w:color w:val="auto"/>
                <w:sz w:val="24"/>
                <w:highlight w:val="none"/>
                <w:u w:val="single"/>
              </w:rPr>
            </w:pPr>
            <w:r>
              <w:rPr>
                <w:rFonts w:hint="eastAsia" w:ascii="宋体" w:hAnsi="宋体" w:cs="宋体"/>
                <w:i w:val="0"/>
                <w:iCs w:val="0"/>
                <w:color w:val="auto"/>
                <w:sz w:val="24"/>
                <w:szCs w:val="24"/>
                <w:highlight w:val="none"/>
                <w:lang w:eastAsia="zh-CN"/>
              </w:rPr>
              <w:t>投标</w:t>
            </w:r>
            <w:r>
              <w:rPr>
                <w:rFonts w:hint="eastAsia" w:ascii="宋体" w:hAnsi="宋体" w:cs="宋体"/>
                <w:i w:val="0"/>
                <w:iCs w:val="0"/>
                <w:color w:val="auto"/>
                <w:sz w:val="24"/>
                <w:szCs w:val="24"/>
                <w:highlight w:val="none"/>
              </w:rPr>
              <w:t>文件</w:t>
            </w:r>
            <w:r>
              <w:rPr>
                <w:rFonts w:hint="eastAsia" w:ascii="宋体" w:hAnsi="宋体" w:cs="宋体"/>
                <w:i w:val="0"/>
                <w:iCs w:val="0"/>
                <w:color w:val="auto"/>
                <w:sz w:val="24"/>
                <w:highlight w:val="none"/>
              </w:rPr>
              <w:t>密封要求：</w:t>
            </w:r>
            <w:r>
              <w:rPr>
                <w:rFonts w:hint="eastAsia" w:ascii="宋体" w:hAnsi="宋体" w:cs="宋体"/>
                <w:i w:val="0"/>
                <w:iCs w:val="0"/>
                <w:color w:val="auto"/>
                <w:sz w:val="24"/>
                <w:highlight w:val="none"/>
                <w:lang w:eastAsia="zh-CN"/>
              </w:rPr>
              <w:t>投标</w:t>
            </w:r>
            <w:r>
              <w:rPr>
                <w:rFonts w:hint="eastAsia" w:ascii="宋体" w:hAnsi="宋体" w:cs="宋体"/>
                <w:i w:val="0"/>
                <w:iCs w:val="0"/>
                <w:color w:val="auto"/>
                <w:sz w:val="24"/>
                <w:highlight w:val="none"/>
                <w:u w:val="single"/>
              </w:rPr>
              <w:t>文件</w:t>
            </w:r>
            <w:r>
              <w:rPr>
                <w:rFonts w:hint="eastAsia" w:ascii="宋体" w:hAnsi="宋体" w:cs="宋体"/>
                <w:i w:val="0"/>
                <w:iCs w:val="0"/>
                <w:color w:val="auto"/>
                <w:sz w:val="24"/>
                <w:highlight w:val="none"/>
                <w:u w:val="single"/>
                <w:lang w:val="en-US" w:eastAsia="zh-CN"/>
              </w:rPr>
              <w:t>正本副本</w:t>
            </w:r>
            <w:r>
              <w:rPr>
                <w:rFonts w:hint="eastAsia" w:ascii="宋体" w:hAnsi="宋体" w:cs="宋体"/>
                <w:i w:val="0"/>
                <w:iCs w:val="0"/>
                <w:color w:val="auto"/>
                <w:sz w:val="24"/>
                <w:highlight w:val="none"/>
                <w:u w:val="single"/>
              </w:rPr>
              <w:t>、电子版文件密封包装，封口处加盖单位公章或密封章</w:t>
            </w:r>
          </w:p>
          <w:p w14:paraId="2D40A318">
            <w:pPr>
              <w:pStyle w:val="7"/>
              <w:spacing w:line="440" w:lineRule="exact"/>
              <w:rPr>
                <w:rFonts w:ascii="宋体" w:hAnsi="宋体" w:cs="宋体"/>
                <w:i w:val="0"/>
                <w:iCs w:val="0"/>
                <w:color w:val="auto"/>
                <w:highlight w:val="none"/>
              </w:rPr>
            </w:pPr>
            <w:r>
              <w:rPr>
                <w:rFonts w:hint="eastAsia" w:ascii="宋体" w:hAnsi="宋体" w:cs="宋体"/>
                <w:i w:val="0"/>
                <w:iCs w:val="0"/>
                <w:color w:val="auto"/>
                <w:sz w:val="24"/>
                <w:highlight w:val="none"/>
              </w:rPr>
              <w:t>封套上应载明的信息：</w:t>
            </w:r>
          </w:p>
          <w:p w14:paraId="13CAA63F">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投标</w:t>
            </w:r>
            <w:r>
              <w:rPr>
                <w:rFonts w:hint="eastAsia" w:ascii="宋体" w:hAnsi="宋体" w:cs="宋体"/>
                <w:i w:val="0"/>
                <w:iCs w:val="0"/>
                <w:color w:val="auto"/>
                <w:kern w:val="2"/>
                <w:sz w:val="24"/>
                <w:szCs w:val="24"/>
                <w:highlight w:val="none"/>
              </w:rPr>
              <w:t>人名称：</w:t>
            </w:r>
            <w:r>
              <w:rPr>
                <w:rFonts w:hint="eastAsia" w:ascii="宋体" w:hAnsi="宋体" w:cs="宋体"/>
                <w:i w:val="0"/>
                <w:iCs w:val="0"/>
                <w:color w:val="auto"/>
                <w:kern w:val="2"/>
                <w:sz w:val="24"/>
                <w:szCs w:val="24"/>
                <w:highlight w:val="none"/>
                <w:u w:val="single"/>
              </w:rPr>
              <w:t xml:space="preserve">          </w:t>
            </w:r>
            <w:r>
              <w:rPr>
                <w:rFonts w:hint="eastAsia" w:ascii="宋体" w:hAnsi="宋体" w:cs="宋体"/>
                <w:i w:val="0"/>
                <w:iCs w:val="0"/>
                <w:color w:val="auto"/>
                <w:kern w:val="2"/>
                <w:sz w:val="24"/>
                <w:szCs w:val="24"/>
                <w:highlight w:val="none"/>
              </w:rPr>
              <w:t xml:space="preserve">    </w:t>
            </w:r>
          </w:p>
          <w:p w14:paraId="0344510F">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u w:val="single"/>
              </w:rPr>
              <w:t xml:space="preserve">           </w:t>
            </w:r>
            <w:r>
              <w:rPr>
                <w:rFonts w:hint="eastAsia" w:ascii="宋体" w:hAnsi="宋体" w:cs="宋体"/>
                <w:i w:val="0"/>
                <w:iCs w:val="0"/>
                <w:color w:val="auto"/>
                <w:kern w:val="2"/>
                <w:sz w:val="24"/>
                <w:szCs w:val="24"/>
                <w:highlight w:val="none"/>
              </w:rPr>
              <w:t>(项目名称)</w:t>
            </w:r>
            <w:r>
              <w:rPr>
                <w:rFonts w:hint="eastAsia" w:ascii="宋体" w:hAnsi="宋体" w:cs="宋体"/>
                <w:i w:val="0"/>
                <w:iCs w:val="0"/>
                <w:color w:val="auto"/>
                <w:kern w:val="2"/>
                <w:sz w:val="24"/>
                <w:szCs w:val="24"/>
                <w:highlight w:val="none"/>
                <w:lang w:eastAsia="zh-CN"/>
              </w:rPr>
              <w:t>投标</w:t>
            </w:r>
            <w:r>
              <w:rPr>
                <w:rFonts w:hint="eastAsia" w:ascii="宋体" w:hAnsi="宋体" w:cs="宋体"/>
                <w:i w:val="0"/>
                <w:iCs w:val="0"/>
                <w:color w:val="auto"/>
                <w:kern w:val="2"/>
                <w:sz w:val="24"/>
                <w:szCs w:val="24"/>
                <w:highlight w:val="none"/>
              </w:rPr>
              <w:t>文件</w:t>
            </w:r>
          </w:p>
          <w:p w14:paraId="23F6C8E7">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在</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年</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月</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日</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时</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kern w:val="2"/>
                <w:sz w:val="24"/>
                <w:szCs w:val="24"/>
                <w:highlight w:val="none"/>
              </w:rPr>
              <w:t>分前不得开启</w:t>
            </w:r>
          </w:p>
        </w:tc>
      </w:tr>
      <w:tr w14:paraId="6F019C64">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522CADCB">
            <w:pPr>
              <w:spacing w:line="44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4.2.1</w:t>
            </w:r>
          </w:p>
        </w:tc>
        <w:tc>
          <w:tcPr>
            <w:tcW w:w="2024" w:type="dxa"/>
            <w:tcBorders>
              <w:top w:val="single" w:color="auto" w:sz="8" w:space="0"/>
              <w:left w:val="nil"/>
              <w:bottom w:val="single" w:color="auto" w:sz="8" w:space="0"/>
              <w:right w:val="single" w:color="auto" w:sz="8" w:space="0"/>
            </w:tcBorders>
            <w:vAlign w:val="center"/>
          </w:tcPr>
          <w:p w14:paraId="371E27B2">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投标</w:t>
            </w:r>
            <w:r>
              <w:rPr>
                <w:rFonts w:hint="eastAsia" w:ascii="宋体" w:hAnsi="宋体" w:cs="宋体"/>
                <w:i w:val="0"/>
                <w:iCs w:val="0"/>
                <w:color w:val="auto"/>
                <w:kern w:val="2"/>
                <w:sz w:val="24"/>
                <w:szCs w:val="24"/>
                <w:highlight w:val="none"/>
              </w:rPr>
              <w:t>截止时间</w:t>
            </w:r>
          </w:p>
        </w:tc>
        <w:tc>
          <w:tcPr>
            <w:tcW w:w="6799" w:type="dxa"/>
            <w:tcBorders>
              <w:top w:val="single" w:color="auto" w:sz="8" w:space="0"/>
              <w:left w:val="nil"/>
              <w:bottom w:val="single" w:color="auto" w:sz="8" w:space="0"/>
              <w:right w:val="single" w:color="auto" w:sz="8" w:space="0"/>
            </w:tcBorders>
            <w:vAlign w:val="center"/>
          </w:tcPr>
          <w:p w14:paraId="7E84D113">
            <w:pPr>
              <w:spacing w:line="440" w:lineRule="exact"/>
              <w:rPr>
                <w:rFonts w:hint="eastAsia" w:ascii="宋体" w:hAnsi="宋体" w:eastAsia="宋体" w:cs="宋体"/>
                <w:i w:val="0"/>
                <w:iCs w:val="0"/>
                <w:color w:val="auto"/>
                <w:kern w:val="2"/>
                <w:sz w:val="24"/>
                <w:szCs w:val="24"/>
                <w:highlight w:val="none"/>
                <w:lang w:val="en-US" w:eastAsia="zh-CN"/>
              </w:rPr>
            </w:pPr>
            <w:r>
              <w:rPr>
                <w:rFonts w:hint="eastAsia" w:ascii="宋体" w:hAnsi="宋体" w:cs="宋体"/>
                <w:i w:val="0"/>
                <w:iCs w:val="0"/>
                <w:color w:val="auto"/>
                <w:kern w:val="2"/>
                <w:sz w:val="24"/>
                <w:szCs w:val="24"/>
                <w:highlight w:val="none"/>
              </w:rPr>
              <w:t>详见第</w:t>
            </w:r>
            <w:r>
              <w:rPr>
                <w:rFonts w:hint="eastAsia" w:ascii="宋体" w:hAnsi="宋体" w:cs="宋体"/>
                <w:i w:val="0"/>
                <w:iCs w:val="0"/>
                <w:color w:val="auto"/>
                <w:kern w:val="2"/>
                <w:sz w:val="24"/>
                <w:szCs w:val="24"/>
                <w:highlight w:val="none"/>
                <w:lang w:val="en-US" w:eastAsia="zh-CN"/>
              </w:rPr>
              <w:t>一</w:t>
            </w:r>
            <w:r>
              <w:rPr>
                <w:rFonts w:hint="eastAsia" w:ascii="宋体" w:hAnsi="宋体" w:cs="宋体"/>
                <w:i w:val="0"/>
                <w:iCs w:val="0"/>
                <w:color w:val="auto"/>
                <w:kern w:val="2"/>
                <w:sz w:val="24"/>
                <w:szCs w:val="24"/>
                <w:highlight w:val="none"/>
              </w:rPr>
              <w:t>章“</w:t>
            </w:r>
            <w:r>
              <w:rPr>
                <w:rFonts w:hint="eastAsia" w:ascii="宋体" w:hAnsi="宋体" w:cs="宋体"/>
                <w:i w:val="0"/>
                <w:iCs w:val="0"/>
                <w:color w:val="auto"/>
                <w:kern w:val="2"/>
                <w:sz w:val="24"/>
                <w:szCs w:val="24"/>
                <w:highlight w:val="none"/>
                <w:lang w:eastAsia="zh-CN"/>
              </w:rPr>
              <w:t>招标公告</w:t>
            </w:r>
            <w:r>
              <w:rPr>
                <w:rFonts w:hint="eastAsia" w:ascii="宋体" w:hAnsi="宋体" w:cs="宋体"/>
                <w:i w:val="0"/>
                <w:iCs w:val="0"/>
                <w:color w:val="auto"/>
                <w:kern w:val="2"/>
                <w:sz w:val="24"/>
                <w:szCs w:val="24"/>
                <w:highlight w:val="none"/>
              </w:rPr>
              <w:t>”</w:t>
            </w:r>
          </w:p>
        </w:tc>
      </w:tr>
      <w:tr w14:paraId="4E74CF1B">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2A7A0F5C">
            <w:pPr>
              <w:spacing w:line="44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4.2.2</w:t>
            </w:r>
          </w:p>
        </w:tc>
        <w:tc>
          <w:tcPr>
            <w:tcW w:w="2024" w:type="dxa"/>
            <w:tcBorders>
              <w:top w:val="single" w:color="auto" w:sz="8" w:space="0"/>
              <w:left w:val="nil"/>
              <w:bottom w:val="single" w:color="auto" w:sz="8" w:space="0"/>
              <w:right w:val="single" w:color="auto" w:sz="8" w:space="0"/>
            </w:tcBorders>
            <w:vAlign w:val="center"/>
          </w:tcPr>
          <w:p w14:paraId="1BBF94E1">
            <w:pPr>
              <w:spacing w:line="440" w:lineRule="exact"/>
              <w:rPr>
                <w:rFonts w:ascii="宋体" w:hAnsi="宋体" w:cs="宋体"/>
                <w:i w:val="0"/>
                <w:iCs w:val="0"/>
                <w:color w:val="auto"/>
                <w:kern w:val="2"/>
                <w:sz w:val="24"/>
                <w:szCs w:val="24"/>
                <w:highlight w:val="none"/>
                <w:u w:val="none"/>
              </w:rPr>
            </w:pPr>
            <w:r>
              <w:rPr>
                <w:rFonts w:hint="eastAsia" w:ascii="宋体" w:hAnsi="宋体" w:cs="宋体"/>
                <w:i w:val="0"/>
                <w:iCs w:val="0"/>
                <w:color w:val="auto"/>
                <w:kern w:val="2"/>
                <w:sz w:val="24"/>
                <w:szCs w:val="24"/>
                <w:highlight w:val="none"/>
                <w:u w:val="none"/>
                <w:lang w:eastAsia="zh-CN"/>
              </w:rPr>
              <w:t>投标</w:t>
            </w:r>
            <w:r>
              <w:rPr>
                <w:rFonts w:hint="eastAsia" w:ascii="宋体" w:hAnsi="宋体" w:cs="宋体"/>
                <w:i w:val="0"/>
                <w:iCs w:val="0"/>
                <w:color w:val="auto"/>
                <w:kern w:val="2"/>
                <w:sz w:val="24"/>
                <w:szCs w:val="24"/>
                <w:highlight w:val="none"/>
                <w:u w:val="none"/>
              </w:rPr>
              <w:t>文件递交时间和地点</w:t>
            </w:r>
          </w:p>
        </w:tc>
        <w:tc>
          <w:tcPr>
            <w:tcW w:w="6799" w:type="dxa"/>
            <w:tcBorders>
              <w:top w:val="single" w:color="auto" w:sz="8" w:space="0"/>
              <w:left w:val="nil"/>
              <w:bottom w:val="single" w:color="auto" w:sz="8" w:space="0"/>
              <w:right w:val="single" w:color="auto" w:sz="8" w:space="0"/>
            </w:tcBorders>
            <w:vAlign w:val="center"/>
          </w:tcPr>
          <w:p w14:paraId="221975D0">
            <w:pPr>
              <w:spacing w:line="440" w:lineRule="exact"/>
              <w:rPr>
                <w:rFonts w:ascii="宋体" w:hAnsi="宋体" w:cs="宋体"/>
                <w:i w:val="0"/>
                <w:iCs w:val="0"/>
                <w:color w:val="auto"/>
                <w:kern w:val="2"/>
                <w:sz w:val="24"/>
                <w:szCs w:val="24"/>
                <w:highlight w:val="none"/>
                <w:u w:val="none"/>
              </w:rPr>
            </w:pPr>
            <w:r>
              <w:rPr>
                <w:rFonts w:hint="eastAsia" w:ascii="宋体" w:hAnsi="宋体" w:cs="宋体"/>
                <w:i w:val="0"/>
                <w:iCs w:val="0"/>
                <w:color w:val="auto"/>
                <w:kern w:val="2"/>
                <w:sz w:val="24"/>
                <w:szCs w:val="24"/>
                <w:highlight w:val="none"/>
                <w:u w:val="none"/>
              </w:rPr>
              <w:t>详见第一章“</w:t>
            </w:r>
            <w:r>
              <w:rPr>
                <w:rFonts w:hint="eastAsia" w:ascii="宋体" w:hAnsi="宋体" w:cs="宋体"/>
                <w:i w:val="0"/>
                <w:iCs w:val="0"/>
                <w:color w:val="auto"/>
                <w:kern w:val="2"/>
                <w:sz w:val="24"/>
                <w:szCs w:val="24"/>
                <w:highlight w:val="none"/>
                <w:u w:val="none"/>
                <w:lang w:eastAsia="zh-CN"/>
              </w:rPr>
              <w:t>招标公告</w:t>
            </w:r>
            <w:r>
              <w:rPr>
                <w:rFonts w:hint="eastAsia" w:ascii="宋体" w:hAnsi="宋体" w:cs="宋体"/>
                <w:i w:val="0"/>
                <w:iCs w:val="0"/>
                <w:color w:val="auto"/>
                <w:kern w:val="2"/>
                <w:sz w:val="24"/>
                <w:szCs w:val="24"/>
                <w:highlight w:val="none"/>
                <w:u w:val="none"/>
              </w:rPr>
              <w:t>”</w:t>
            </w:r>
          </w:p>
        </w:tc>
      </w:tr>
      <w:tr w14:paraId="34C3D650">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075247FA">
            <w:pPr>
              <w:spacing w:line="44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4.2.3</w:t>
            </w:r>
          </w:p>
        </w:tc>
        <w:tc>
          <w:tcPr>
            <w:tcW w:w="2024" w:type="dxa"/>
            <w:tcBorders>
              <w:top w:val="single" w:color="auto" w:sz="8" w:space="0"/>
              <w:left w:val="nil"/>
              <w:bottom w:val="single" w:color="auto" w:sz="8" w:space="0"/>
              <w:right w:val="single" w:color="auto" w:sz="8" w:space="0"/>
            </w:tcBorders>
            <w:vAlign w:val="center"/>
          </w:tcPr>
          <w:p w14:paraId="66023204">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投标</w:t>
            </w:r>
            <w:r>
              <w:rPr>
                <w:rFonts w:hint="eastAsia" w:ascii="宋体" w:hAnsi="宋体" w:cs="宋体"/>
                <w:i w:val="0"/>
                <w:iCs w:val="0"/>
                <w:color w:val="auto"/>
                <w:kern w:val="2"/>
                <w:sz w:val="24"/>
                <w:szCs w:val="24"/>
                <w:highlight w:val="none"/>
              </w:rPr>
              <w:t>文件是否退还</w:t>
            </w:r>
          </w:p>
        </w:tc>
        <w:tc>
          <w:tcPr>
            <w:tcW w:w="6799" w:type="dxa"/>
            <w:tcBorders>
              <w:top w:val="single" w:color="auto" w:sz="8" w:space="0"/>
              <w:left w:val="nil"/>
              <w:bottom w:val="single" w:color="auto" w:sz="8" w:space="0"/>
              <w:right w:val="single" w:color="auto" w:sz="8" w:space="0"/>
            </w:tcBorders>
            <w:vAlign w:val="center"/>
          </w:tcPr>
          <w:p w14:paraId="609E78EA">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否</w:t>
            </w:r>
          </w:p>
        </w:tc>
      </w:tr>
      <w:tr w14:paraId="5DDC1495">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345ECCFB">
            <w:pPr>
              <w:spacing w:line="44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5.1</w:t>
            </w:r>
          </w:p>
        </w:tc>
        <w:tc>
          <w:tcPr>
            <w:tcW w:w="2024" w:type="dxa"/>
            <w:tcBorders>
              <w:top w:val="single" w:color="auto" w:sz="8" w:space="0"/>
              <w:left w:val="nil"/>
              <w:bottom w:val="single" w:color="auto" w:sz="8" w:space="0"/>
              <w:right w:val="single" w:color="auto" w:sz="8" w:space="0"/>
            </w:tcBorders>
            <w:vAlign w:val="center"/>
          </w:tcPr>
          <w:p w14:paraId="2653670D">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开标</w:t>
            </w:r>
            <w:r>
              <w:rPr>
                <w:rFonts w:hint="eastAsia" w:ascii="宋体" w:hAnsi="宋体" w:cs="宋体"/>
                <w:i w:val="0"/>
                <w:iCs w:val="0"/>
                <w:color w:val="auto"/>
                <w:kern w:val="2"/>
                <w:sz w:val="24"/>
                <w:szCs w:val="24"/>
                <w:highlight w:val="none"/>
              </w:rPr>
              <w:t>时间和地点</w:t>
            </w:r>
          </w:p>
        </w:tc>
        <w:tc>
          <w:tcPr>
            <w:tcW w:w="6799" w:type="dxa"/>
            <w:tcBorders>
              <w:top w:val="single" w:color="auto" w:sz="8" w:space="0"/>
              <w:left w:val="nil"/>
              <w:bottom w:val="single" w:color="auto" w:sz="8" w:space="0"/>
              <w:right w:val="single" w:color="auto" w:sz="8" w:space="0"/>
            </w:tcBorders>
            <w:vAlign w:val="center"/>
          </w:tcPr>
          <w:p w14:paraId="6EC5D890">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开标</w:t>
            </w:r>
            <w:r>
              <w:rPr>
                <w:rFonts w:hint="eastAsia" w:ascii="宋体" w:hAnsi="宋体" w:cs="宋体"/>
                <w:i w:val="0"/>
                <w:iCs w:val="0"/>
                <w:color w:val="auto"/>
                <w:kern w:val="2"/>
                <w:sz w:val="24"/>
                <w:szCs w:val="24"/>
                <w:highlight w:val="none"/>
              </w:rPr>
              <w:t>时间：同投标截止时间</w:t>
            </w:r>
          </w:p>
          <w:p w14:paraId="52C8C38C">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开标</w:t>
            </w:r>
            <w:r>
              <w:rPr>
                <w:rFonts w:hint="eastAsia" w:ascii="宋体" w:hAnsi="宋体" w:cs="宋体"/>
                <w:i w:val="0"/>
                <w:iCs w:val="0"/>
                <w:color w:val="auto"/>
                <w:kern w:val="2"/>
                <w:sz w:val="24"/>
                <w:szCs w:val="24"/>
                <w:highlight w:val="none"/>
              </w:rPr>
              <w:t>地点：同投标文件递交地点</w:t>
            </w:r>
          </w:p>
        </w:tc>
      </w:tr>
      <w:tr w14:paraId="2C5B15AB">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651B79C1">
            <w:pPr>
              <w:spacing w:line="44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5.2(4)</w:t>
            </w:r>
          </w:p>
        </w:tc>
        <w:tc>
          <w:tcPr>
            <w:tcW w:w="2024" w:type="dxa"/>
            <w:tcBorders>
              <w:top w:val="single" w:color="auto" w:sz="8" w:space="0"/>
              <w:left w:val="nil"/>
              <w:bottom w:val="single" w:color="auto" w:sz="8" w:space="0"/>
              <w:right w:val="single" w:color="auto" w:sz="8" w:space="0"/>
            </w:tcBorders>
            <w:vAlign w:val="center"/>
          </w:tcPr>
          <w:p w14:paraId="52ADC023">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开标</w:t>
            </w:r>
            <w:r>
              <w:rPr>
                <w:rFonts w:hint="eastAsia" w:ascii="宋体" w:hAnsi="宋体" w:cs="宋体"/>
                <w:i w:val="0"/>
                <w:iCs w:val="0"/>
                <w:color w:val="auto"/>
                <w:kern w:val="2"/>
                <w:sz w:val="24"/>
                <w:szCs w:val="24"/>
                <w:highlight w:val="none"/>
              </w:rPr>
              <w:t>顺序</w:t>
            </w:r>
          </w:p>
        </w:tc>
        <w:tc>
          <w:tcPr>
            <w:tcW w:w="6799" w:type="dxa"/>
            <w:tcBorders>
              <w:top w:val="single" w:color="auto" w:sz="8" w:space="0"/>
              <w:left w:val="nil"/>
              <w:bottom w:val="single" w:color="auto" w:sz="8" w:space="0"/>
              <w:right w:val="single" w:color="auto" w:sz="8" w:space="0"/>
            </w:tcBorders>
            <w:vAlign w:val="center"/>
          </w:tcPr>
          <w:p w14:paraId="60DBB45F">
            <w:pPr>
              <w:spacing w:line="440" w:lineRule="exact"/>
              <w:jc w:val="both"/>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开标</w:t>
            </w:r>
            <w:r>
              <w:rPr>
                <w:rFonts w:hint="eastAsia" w:ascii="宋体" w:hAnsi="宋体" w:cs="宋体"/>
                <w:i w:val="0"/>
                <w:iCs w:val="0"/>
                <w:color w:val="auto"/>
                <w:kern w:val="2"/>
                <w:sz w:val="24"/>
                <w:szCs w:val="24"/>
                <w:highlight w:val="none"/>
              </w:rPr>
              <w:t>顺序：</w:t>
            </w:r>
            <w:r>
              <w:rPr>
                <w:rFonts w:hint="eastAsia" w:ascii="宋体" w:hAnsi="宋体" w:cs="宋体"/>
                <w:i w:val="0"/>
                <w:iCs w:val="0"/>
                <w:color w:val="auto"/>
                <w:kern w:val="2"/>
                <w:sz w:val="24"/>
                <w:szCs w:val="24"/>
                <w:highlight w:val="none"/>
              </w:rPr>
              <w:sym w:font="Wingdings 2" w:char="0052"/>
            </w:r>
            <w:r>
              <w:rPr>
                <w:rFonts w:hint="eastAsia" w:ascii="宋体" w:hAnsi="宋体" w:cs="宋体"/>
                <w:i w:val="0"/>
                <w:iCs w:val="0"/>
                <w:color w:val="auto"/>
                <w:kern w:val="2"/>
                <w:sz w:val="24"/>
                <w:szCs w:val="24"/>
                <w:highlight w:val="none"/>
              </w:rPr>
              <w:t>随机开启</w:t>
            </w:r>
          </w:p>
          <w:p w14:paraId="5599E542">
            <w:pPr>
              <w:spacing w:line="440" w:lineRule="exact"/>
              <w:ind w:firstLine="1200" w:firstLineChars="500"/>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□按递交先后顺序开启</w:t>
            </w:r>
          </w:p>
          <w:p w14:paraId="61403112">
            <w:pPr>
              <w:spacing w:line="440" w:lineRule="exact"/>
              <w:ind w:firstLine="1200" w:firstLineChars="500"/>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□其他开启方式：</w:t>
            </w:r>
            <w:r>
              <w:rPr>
                <w:rFonts w:hint="eastAsia" w:ascii="宋体" w:hAnsi="宋体" w:cs="宋体"/>
                <w:i w:val="0"/>
                <w:iCs w:val="0"/>
                <w:color w:val="auto"/>
                <w:kern w:val="2"/>
                <w:sz w:val="24"/>
                <w:szCs w:val="24"/>
                <w:highlight w:val="none"/>
                <w:u w:val="single"/>
              </w:rPr>
              <w:t xml:space="preserve">          </w:t>
            </w:r>
          </w:p>
        </w:tc>
      </w:tr>
      <w:tr w14:paraId="42F637CD">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765911C2">
            <w:pPr>
              <w:spacing w:line="44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6.1.1</w:t>
            </w:r>
          </w:p>
        </w:tc>
        <w:tc>
          <w:tcPr>
            <w:tcW w:w="2024" w:type="dxa"/>
            <w:tcBorders>
              <w:top w:val="single" w:color="auto" w:sz="8" w:space="0"/>
              <w:left w:val="nil"/>
              <w:bottom w:val="single" w:color="auto" w:sz="8" w:space="0"/>
              <w:right w:val="single" w:color="auto" w:sz="8" w:space="0"/>
            </w:tcBorders>
            <w:vAlign w:val="center"/>
          </w:tcPr>
          <w:p w14:paraId="5A5D4310">
            <w:pPr>
              <w:pStyle w:val="74"/>
              <w:spacing w:line="440" w:lineRule="exact"/>
              <w:rPr>
                <w:i w:val="0"/>
                <w:iCs w:val="0"/>
                <w:color w:val="auto"/>
                <w:sz w:val="24"/>
                <w:szCs w:val="24"/>
                <w:highlight w:val="none"/>
                <w:lang w:eastAsia="zh-CN"/>
              </w:rPr>
            </w:pPr>
            <w:r>
              <w:rPr>
                <w:rFonts w:hint="eastAsia"/>
                <w:i w:val="0"/>
                <w:iCs w:val="0"/>
                <w:color w:val="auto"/>
                <w:sz w:val="24"/>
                <w:szCs w:val="24"/>
                <w:highlight w:val="none"/>
                <w:lang w:eastAsia="zh-CN"/>
              </w:rPr>
              <w:t>评标</w:t>
            </w:r>
            <w:r>
              <w:rPr>
                <w:rFonts w:hint="eastAsia"/>
                <w:i w:val="0"/>
                <w:iCs w:val="0"/>
                <w:color w:val="auto"/>
                <w:sz w:val="24"/>
                <w:szCs w:val="24"/>
                <w:highlight w:val="none"/>
              </w:rPr>
              <w:t>委员会</w:t>
            </w:r>
            <w:r>
              <w:rPr>
                <w:rFonts w:hint="eastAsia"/>
                <w:i w:val="0"/>
                <w:iCs w:val="0"/>
                <w:color w:val="auto"/>
                <w:sz w:val="24"/>
                <w:szCs w:val="24"/>
                <w:highlight w:val="none"/>
                <w:lang w:eastAsia="zh-CN"/>
              </w:rPr>
              <w:t>成员人数</w:t>
            </w:r>
          </w:p>
        </w:tc>
        <w:tc>
          <w:tcPr>
            <w:tcW w:w="6799" w:type="dxa"/>
            <w:tcBorders>
              <w:top w:val="single" w:color="auto" w:sz="8" w:space="0"/>
              <w:left w:val="nil"/>
              <w:bottom w:val="single" w:color="auto" w:sz="8" w:space="0"/>
              <w:right w:val="single" w:color="auto" w:sz="8" w:space="0"/>
            </w:tcBorders>
            <w:vAlign w:val="center"/>
          </w:tcPr>
          <w:p w14:paraId="446F8CFD">
            <w:pPr>
              <w:pStyle w:val="74"/>
              <w:tabs>
                <w:tab w:val="left" w:pos="2309"/>
                <w:tab w:val="left" w:pos="2729"/>
                <w:tab w:val="left" w:pos="3826"/>
              </w:tabs>
              <w:spacing w:line="440" w:lineRule="exact"/>
              <w:rPr>
                <w:i w:val="0"/>
                <w:iCs w:val="0"/>
                <w:color w:val="auto"/>
                <w:sz w:val="24"/>
                <w:szCs w:val="24"/>
                <w:highlight w:val="none"/>
                <w:lang w:eastAsia="zh-CN"/>
              </w:rPr>
            </w:pPr>
            <w:r>
              <w:rPr>
                <w:rFonts w:hint="eastAsia"/>
                <w:i w:val="0"/>
                <w:iCs w:val="0"/>
                <w:color w:val="auto"/>
                <w:sz w:val="24"/>
                <w:szCs w:val="24"/>
                <w:highlight w:val="none"/>
                <w:lang w:eastAsia="zh-CN"/>
              </w:rPr>
              <w:t>5人以上单数</w:t>
            </w:r>
          </w:p>
        </w:tc>
      </w:tr>
      <w:tr w14:paraId="1F101BDC">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2270564F">
            <w:pPr>
              <w:spacing w:line="44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6.3.3</w:t>
            </w:r>
          </w:p>
        </w:tc>
        <w:tc>
          <w:tcPr>
            <w:tcW w:w="2024" w:type="dxa"/>
            <w:tcBorders>
              <w:top w:val="single" w:color="auto" w:sz="8" w:space="0"/>
              <w:left w:val="nil"/>
              <w:bottom w:val="single" w:color="auto" w:sz="8" w:space="0"/>
              <w:right w:val="single" w:color="auto" w:sz="8" w:space="0"/>
            </w:tcBorders>
            <w:vAlign w:val="center"/>
          </w:tcPr>
          <w:p w14:paraId="4932E853">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评标</w:t>
            </w:r>
            <w:r>
              <w:rPr>
                <w:rFonts w:hint="eastAsia" w:ascii="宋体" w:hAnsi="宋体" w:cs="宋体"/>
                <w:i w:val="0"/>
                <w:iCs w:val="0"/>
                <w:color w:val="auto"/>
                <w:kern w:val="2"/>
                <w:sz w:val="24"/>
                <w:szCs w:val="24"/>
                <w:highlight w:val="none"/>
              </w:rPr>
              <w:t>委员会推荐中</w:t>
            </w:r>
            <w:r>
              <w:rPr>
                <w:rFonts w:hint="eastAsia" w:ascii="宋体" w:hAnsi="宋体" w:cs="宋体"/>
                <w:i w:val="0"/>
                <w:iCs w:val="0"/>
                <w:color w:val="auto"/>
                <w:kern w:val="2"/>
                <w:sz w:val="24"/>
                <w:szCs w:val="24"/>
                <w:highlight w:val="none"/>
                <w:lang w:eastAsia="zh-CN"/>
              </w:rPr>
              <w:t>选</w:t>
            </w:r>
            <w:r>
              <w:rPr>
                <w:rFonts w:hint="eastAsia" w:ascii="宋体" w:hAnsi="宋体" w:cs="宋体"/>
                <w:i w:val="0"/>
                <w:iCs w:val="0"/>
                <w:color w:val="auto"/>
                <w:kern w:val="2"/>
                <w:sz w:val="24"/>
                <w:szCs w:val="24"/>
                <w:highlight w:val="none"/>
              </w:rPr>
              <w:t>候选人的人数</w:t>
            </w:r>
          </w:p>
        </w:tc>
        <w:tc>
          <w:tcPr>
            <w:tcW w:w="6799" w:type="dxa"/>
            <w:tcBorders>
              <w:top w:val="single" w:color="auto" w:sz="8" w:space="0"/>
              <w:left w:val="nil"/>
              <w:bottom w:val="single" w:color="auto" w:sz="8" w:space="0"/>
              <w:right w:val="single" w:color="auto" w:sz="8" w:space="0"/>
            </w:tcBorders>
            <w:vAlign w:val="center"/>
          </w:tcPr>
          <w:p w14:paraId="6FD10B89">
            <w:pPr>
              <w:pStyle w:val="72"/>
              <w:spacing w:line="440" w:lineRule="exact"/>
              <w:jc w:val="both"/>
              <w:rPr>
                <w:rFonts w:ascii="宋体" w:hAnsi="宋体" w:cs="宋体"/>
                <w:i w:val="0"/>
                <w:iCs w:val="0"/>
                <w:color w:val="auto"/>
                <w:sz w:val="24"/>
                <w:szCs w:val="24"/>
                <w:highlight w:val="none"/>
                <w:u w:val="single"/>
              </w:rPr>
            </w:pPr>
            <w:r>
              <w:rPr>
                <w:rFonts w:hint="eastAsia" w:ascii="宋体" w:hAnsi="宋体" w:cs="宋体"/>
                <w:i w:val="0"/>
                <w:iCs w:val="0"/>
                <w:color w:val="auto"/>
                <w:kern w:val="2"/>
                <w:sz w:val="24"/>
                <w:szCs w:val="24"/>
                <w:highlight w:val="none"/>
              </w:rPr>
              <w:t>由</w:t>
            </w:r>
            <w:r>
              <w:rPr>
                <w:rFonts w:hint="eastAsia" w:ascii="宋体" w:hAnsi="宋体" w:cs="宋体"/>
                <w:i w:val="0"/>
                <w:iCs w:val="0"/>
                <w:color w:val="auto"/>
                <w:kern w:val="2"/>
                <w:sz w:val="24"/>
                <w:szCs w:val="24"/>
                <w:highlight w:val="none"/>
                <w:lang w:eastAsia="zh-CN"/>
              </w:rPr>
              <w:t>评标</w:t>
            </w:r>
            <w:r>
              <w:rPr>
                <w:rFonts w:hint="eastAsia" w:ascii="宋体" w:hAnsi="宋体" w:cs="宋体"/>
                <w:i w:val="0"/>
                <w:iCs w:val="0"/>
                <w:color w:val="auto"/>
                <w:kern w:val="2"/>
                <w:sz w:val="24"/>
                <w:szCs w:val="24"/>
                <w:highlight w:val="none"/>
              </w:rPr>
              <w:t>委员会推荐3名中标候选人，由</w:t>
            </w:r>
            <w:r>
              <w:rPr>
                <w:rFonts w:hint="eastAsia" w:ascii="宋体" w:hAnsi="宋体" w:cs="宋体"/>
                <w:i w:val="0"/>
                <w:iCs w:val="0"/>
                <w:color w:val="auto"/>
                <w:kern w:val="2"/>
                <w:sz w:val="24"/>
                <w:szCs w:val="24"/>
                <w:highlight w:val="none"/>
                <w:lang w:eastAsia="zh-CN"/>
              </w:rPr>
              <w:t>采购人</w:t>
            </w:r>
            <w:r>
              <w:rPr>
                <w:rFonts w:hint="eastAsia" w:ascii="宋体" w:hAnsi="宋体" w:cs="宋体"/>
                <w:i w:val="0"/>
                <w:iCs w:val="0"/>
                <w:color w:val="auto"/>
                <w:kern w:val="2"/>
                <w:sz w:val="24"/>
                <w:szCs w:val="24"/>
                <w:highlight w:val="none"/>
              </w:rPr>
              <w:t>根据相关法律法规确定中</w:t>
            </w:r>
            <w:r>
              <w:rPr>
                <w:rFonts w:hint="eastAsia" w:ascii="宋体" w:hAnsi="宋体" w:cs="宋体"/>
                <w:i w:val="0"/>
                <w:iCs w:val="0"/>
                <w:color w:val="auto"/>
                <w:kern w:val="2"/>
                <w:sz w:val="24"/>
                <w:szCs w:val="24"/>
                <w:highlight w:val="none"/>
                <w:lang w:eastAsia="zh-CN"/>
              </w:rPr>
              <w:t>选</w:t>
            </w:r>
            <w:r>
              <w:rPr>
                <w:rFonts w:hint="eastAsia" w:ascii="宋体" w:hAnsi="宋体" w:cs="宋体"/>
                <w:i w:val="0"/>
                <w:iCs w:val="0"/>
                <w:color w:val="auto"/>
                <w:kern w:val="2"/>
                <w:sz w:val="24"/>
                <w:szCs w:val="24"/>
                <w:highlight w:val="none"/>
              </w:rPr>
              <w:t>人。</w:t>
            </w:r>
          </w:p>
        </w:tc>
      </w:tr>
      <w:tr w14:paraId="172EB783">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2530F106">
            <w:pPr>
              <w:pStyle w:val="74"/>
              <w:spacing w:line="440" w:lineRule="exact"/>
              <w:jc w:val="center"/>
              <w:rPr>
                <w:i w:val="0"/>
                <w:iCs w:val="0"/>
                <w:color w:val="auto"/>
                <w:kern w:val="2"/>
                <w:sz w:val="24"/>
                <w:szCs w:val="24"/>
                <w:highlight w:val="none"/>
              </w:rPr>
            </w:pPr>
            <w:r>
              <w:rPr>
                <w:rFonts w:hint="eastAsia"/>
                <w:i w:val="0"/>
                <w:iCs w:val="0"/>
                <w:color w:val="auto"/>
                <w:sz w:val="24"/>
                <w:szCs w:val="24"/>
                <w:highlight w:val="none"/>
              </w:rPr>
              <w:t>7.1</w:t>
            </w:r>
          </w:p>
        </w:tc>
        <w:tc>
          <w:tcPr>
            <w:tcW w:w="2024" w:type="dxa"/>
            <w:tcBorders>
              <w:top w:val="single" w:color="auto" w:sz="8" w:space="0"/>
              <w:left w:val="nil"/>
              <w:bottom w:val="single" w:color="auto" w:sz="8" w:space="0"/>
              <w:right w:val="single" w:color="auto" w:sz="8" w:space="0"/>
            </w:tcBorders>
            <w:vAlign w:val="center"/>
          </w:tcPr>
          <w:p w14:paraId="7C3DACE6">
            <w:pPr>
              <w:pStyle w:val="74"/>
              <w:spacing w:line="440" w:lineRule="exact"/>
              <w:jc w:val="center"/>
              <w:rPr>
                <w:i w:val="0"/>
                <w:iCs w:val="0"/>
                <w:color w:val="auto"/>
                <w:kern w:val="2"/>
                <w:sz w:val="24"/>
                <w:szCs w:val="24"/>
                <w:highlight w:val="none"/>
                <w:lang w:eastAsia="zh-CN"/>
              </w:rPr>
            </w:pPr>
            <w:r>
              <w:rPr>
                <w:rFonts w:hint="eastAsia"/>
                <w:i w:val="0"/>
                <w:iCs w:val="0"/>
                <w:color w:val="auto"/>
                <w:sz w:val="24"/>
                <w:szCs w:val="24"/>
                <w:highlight w:val="none"/>
                <w:lang w:eastAsia="zh-CN"/>
              </w:rPr>
              <w:t>中标候选人公示媒介及期限</w:t>
            </w:r>
          </w:p>
        </w:tc>
        <w:tc>
          <w:tcPr>
            <w:tcW w:w="6799" w:type="dxa"/>
            <w:tcBorders>
              <w:top w:val="single" w:color="auto" w:sz="8" w:space="0"/>
              <w:left w:val="nil"/>
              <w:bottom w:val="single" w:color="auto" w:sz="8" w:space="0"/>
              <w:right w:val="single" w:color="auto" w:sz="8" w:space="0"/>
            </w:tcBorders>
            <w:vAlign w:val="center"/>
          </w:tcPr>
          <w:p w14:paraId="1AA5974D">
            <w:pPr>
              <w:pStyle w:val="74"/>
              <w:tabs>
                <w:tab w:val="left" w:pos="2100"/>
              </w:tabs>
              <w:spacing w:line="440" w:lineRule="exact"/>
              <w:rPr>
                <w:i w:val="0"/>
                <w:iCs w:val="0"/>
                <w:color w:val="auto"/>
                <w:sz w:val="24"/>
                <w:szCs w:val="24"/>
                <w:highlight w:val="none"/>
                <w:lang w:eastAsia="zh-CN"/>
              </w:rPr>
            </w:pPr>
            <w:r>
              <w:rPr>
                <w:rFonts w:hint="eastAsia"/>
                <w:i w:val="0"/>
                <w:iCs w:val="0"/>
                <w:color w:val="auto"/>
                <w:sz w:val="24"/>
                <w:szCs w:val="24"/>
                <w:highlight w:val="none"/>
                <w:lang w:eastAsia="zh-CN"/>
              </w:rPr>
              <w:t>同招标公告发布媒介一致</w:t>
            </w:r>
          </w:p>
          <w:p w14:paraId="4581D6B0">
            <w:pPr>
              <w:pStyle w:val="74"/>
              <w:tabs>
                <w:tab w:val="left" w:pos="2100"/>
              </w:tabs>
              <w:spacing w:line="440" w:lineRule="exact"/>
              <w:rPr>
                <w:i w:val="0"/>
                <w:iCs w:val="0"/>
                <w:color w:val="auto"/>
                <w:kern w:val="2"/>
                <w:sz w:val="24"/>
                <w:szCs w:val="24"/>
                <w:highlight w:val="none"/>
                <w:lang w:eastAsia="zh-CN"/>
              </w:rPr>
            </w:pPr>
            <w:r>
              <w:rPr>
                <w:rFonts w:hint="eastAsia"/>
                <w:i w:val="0"/>
                <w:iCs w:val="0"/>
                <w:color w:val="auto"/>
                <w:sz w:val="24"/>
                <w:szCs w:val="24"/>
                <w:highlight w:val="none"/>
                <w:lang w:eastAsia="zh-CN"/>
              </w:rPr>
              <w:t>公示期限：</w:t>
            </w:r>
            <w:r>
              <w:rPr>
                <w:rFonts w:hint="eastAsia"/>
                <w:i w:val="0"/>
                <w:iCs w:val="0"/>
                <w:color w:val="000000" w:themeColor="text1"/>
                <w:sz w:val="24"/>
                <w:szCs w:val="24"/>
                <w:highlight w:val="none"/>
                <w:lang w:val="en-US" w:eastAsia="zh-CN"/>
                <w14:textFill>
                  <w14:solidFill>
                    <w14:schemeClr w14:val="tx1"/>
                  </w14:solidFill>
                </w14:textFill>
              </w:rPr>
              <w:t>1</w:t>
            </w:r>
            <w:r>
              <w:rPr>
                <w:rFonts w:hint="eastAsia"/>
                <w:i w:val="0"/>
                <w:iCs w:val="0"/>
                <w:color w:val="000000" w:themeColor="text1"/>
                <w:sz w:val="24"/>
                <w:szCs w:val="24"/>
                <w:highlight w:val="none"/>
                <w:lang w:eastAsia="zh-CN"/>
                <w14:textFill>
                  <w14:solidFill>
                    <w14:schemeClr w14:val="tx1"/>
                  </w14:solidFill>
                </w14:textFill>
              </w:rPr>
              <w:t>个日历天</w:t>
            </w:r>
          </w:p>
        </w:tc>
      </w:tr>
      <w:tr w14:paraId="32F70A9F">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49E3BD5F">
            <w:pPr>
              <w:spacing w:line="44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7.4</w:t>
            </w:r>
          </w:p>
        </w:tc>
        <w:tc>
          <w:tcPr>
            <w:tcW w:w="2024" w:type="dxa"/>
            <w:tcBorders>
              <w:top w:val="single" w:color="auto" w:sz="8" w:space="0"/>
              <w:left w:val="nil"/>
              <w:bottom w:val="single" w:color="auto" w:sz="8" w:space="0"/>
              <w:right w:val="single" w:color="auto" w:sz="8" w:space="0"/>
            </w:tcBorders>
            <w:vAlign w:val="center"/>
          </w:tcPr>
          <w:p w14:paraId="2E4EE009">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是否授权</w:t>
            </w:r>
            <w:r>
              <w:rPr>
                <w:rFonts w:hint="eastAsia" w:ascii="宋体" w:hAnsi="宋体" w:cs="宋体"/>
                <w:i w:val="0"/>
                <w:iCs w:val="0"/>
                <w:color w:val="auto"/>
                <w:kern w:val="2"/>
                <w:sz w:val="24"/>
                <w:szCs w:val="24"/>
                <w:highlight w:val="none"/>
                <w:lang w:eastAsia="zh-CN"/>
              </w:rPr>
              <w:t>评标</w:t>
            </w:r>
            <w:r>
              <w:rPr>
                <w:rFonts w:hint="eastAsia" w:ascii="宋体" w:hAnsi="宋体" w:cs="宋体"/>
                <w:i w:val="0"/>
                <w:iCs w:val="0"/>
                <w:color w:val="auto"/>
                <w:kern w:val="2"/>
                <w:sz w:val="24"/>
                <w:szCs w:val="24"/>
                <w:highlight w:val="none"/>
              </w:rPr>
              <w:t>委员会确定中</w:t>
            </w:r>
            <w:r>
              <w:rPr>
                <w:rFonts w:hint="eastAsia" w:ascii="宋体" w:hAnsi="宋体" w:cs="宋体"/>
                <w:i w:val="0"/>
                <w:iCs w:val="0"/>
                <w:color w:val="auto"/>
                <w:kern w:val="2"/>
                <w:sz w:val="24"/>
                <w:szCs w:val="24"/>
                <w:highlight w:val="none"/>
                <w:lang w:eastAsia="zh-CN"/>
              </w:rPr>
              <w:t>选</w:t>
            </w:r>
            <w:r>
              <w:rPr>
                <w:rFonts w:hint="eastAsia" w:ascii="宋体" w:hAnsi="宋体" w:cs="宋体"/>
                <w:i w:val="0"/>
                <w:iCs w:val="0"/>
                <w:color w:val="auto"/>
                <w:kern w:val="2"/>
                <w:sz w:val="24"/>
                <w:szCs w:val="24"/>
                <w:highlight w:val="none"/>
              </w:rPr>
              <w:t>人</w:t>
            </w:r>
          </w:p>
        </w:tc>
        <w:tc>
          <w:tcPr>
            <w:tcW w:w="6799" w:type="dxa"/>
            <w:tcBorders>
              <w:top w:val="single" w:color="auto" w:sz="8" w:space="0"/>
              <w:left w:val="nil"/>
              <w:bottom w:val="single" w:color="auto" w:sz="8" w:space="0"/>
              <w:right w:val="single" w:color="auto" w:sz="8" w:space="0"/>
            </w:tcBorders>
            <w:vAlign w:val="center"/>
          </w:tcPr>
          <w:p w14:paraId="1A789E5A">
            <w:pPr>
              <w:spacing w:line="440" w:lineRule="exact"/>
              <w:jc w:val="both"/>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w:t>
            </w:r>
            <w:r>
              <w:rPr>
                <w:rFonts w:hint="eastAsia" w:ascii="宋体" w:hAnsi="宋体" w:cs="宋体"/>
                <w:i w:val="0"/>
                <w:iCs w:val="0"/>
                <w:color w:val="auto"/>
                <w:kern w:val="2"/>
                <w:sz w:val="24"/>
                <w:szCs w:val="24"/>
                <w:highlight w:val="none"/>
              </w:rPr>
              <w:t>是</w:t>
            </w:r>
          </w:p>
          <w:p w14:paraId="691D49EE">
            <w:pPr>
              <w:spacing w:line="440" w:lineRule="exact"/>
              <w:jc w:val="both"/>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sym w:font="Wingdings 2" w:char="00A3"/>
            </w:r>
            <w:r>
              <w:rPr>
                <w:rFonts w:hint="eastAsia" w:ascii="宋体" w:hAnsi="宋体" w:cs="宋体"/>
                <w:i w:val="0"/>
                <w:iCs w:val="0"/>
                <w:color w:val="auto"/>
                <w:kern w:val="2"/>
                <w:sz w:val="24"/>
                <w:szCs w:val="24"/>
                <w:highlight w:val="none"/>
              </w:rPr>
              <w:t>否</w:t>
            </w:r>
          </w:p>
        </w:tc>
      </w:tr>
      <w:tr w14:paraId="50EE919A">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4A8C1131">
            <w:pPr>
              <w:spacing w:line="44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7.6.1</w:t>
            </w:r>
          </w:p>
        </w:tc>
        <w:tc>
          <w:tcPr>
            <w:tcW w:w="2024" w:type="dxa"/>
            <w:tcBorders>
              <w:top w:val="single" w:color="auto" w:sz="8" w:space="0"/>
              <w:left w:val="nil"/>
              <w:bottom w:val="single" w:color="auto" w:sz="8" w:space="0"/>
              <w:right w:val="single" w:color="auto" w:sz="8" w:space="0"/>
            </w:tcBorders>
            <w:vAlign w:val="center"/>
          </w:tcPr>
          <w:p w14:paraId="5AD9DFA9">
            <w:pPr>
              <w:pStyle w:val="74"/>
              <w:spacing w:line="440" w:lineRule="exact"/>
              <w:rPr>
                <w:i w:val="0"/>
                <w:iCs w:val="0"/>
                <w:color w:val="auto"/>
                <w:kern w:val="2"/>
                <w:sz w:val="24"/>
                <w:szCs w:val="24"/>
                <w:highlight w:val="none"/>
                <w:lang w:eastAsia="zh-CN"/>
              </w:rPr>
            </w:pPr>
            <w:r>
              <w:rPr>
                <w:rFonts w:hint="eastAsia"/>
                <w:i w:val="0"/>
                <w:iCs w:val="0"/>
                <w:color w:val="auto"/>
                <w:kern w:val="2"/>
                <w:sz w:val="24"/>
                <w:szCs w:val="24"/>
                <w:highlight w:val="none"/>
                <w:lang w:eastAsia="zh-CN"/>
              </w:rPr>
              <w:t>履约保证金</w:t>
            </w:r>
          </w:p>
        </w:tc>
        <w:tc>
          <w:tcPr>
            <w:tcW w:w="6799" w:type="dxa"/>
            <w:tcBorders>
              <w:top w:val="single" w:color="auto" w:sz="8" w:space="0"/>
              <w:left w:val="nil"/>
              <w:bottom w:val="single" w:color="auto" w:sz="8" w:space="0"/>
              <w:right w:val="single" w:color="auto" w:sz="8" w:space="0"/>
            </w:tcBorders>
            <w:vAlign w:val="center"/>
          </w:tcPr>
          <w:p w14:paraId="1CA4CC03">
            <w:pPr>
              <w:pStyle w:val="74"/>
              <w:spacing w:line="440" w:lineRule="exact"/>
              <w:rPr>
                <w:i w:val="0"/>
                <w:iCs w:val="0"/>
                <w:color w:val="auto"/>
                <w:kern w:val="2"/>
                <w:sz w:val="24"/>
                <w:szCs w:val="24"/>
                <w:highlight w:val="none"/>
                <w:lang w:eastAsia="zh-CN"/>
              </w:rPr>
            </w:pPr>
            <w:r>
              <w:rPr>
                <w:rFonts w:hint="eastAsia"/>
                <w:i w:val="0"/>
                <w:iCs w:val="0"/>
                <w:color w:val="auto"/>
                <w:kern w:val="2"/>
                <w:sz w:val="24"/>
                <w:szCs w:val="24"/>
                <w:highlight w:val="none"/>
                <w:lang w:eastAsia="zh-CN"/>
              </w:rPr>
              <w:t>不要求</w:t>
            </w:r>
          </w:p>
        </w:tc>
      </w:tr>
      <w:tr w14:paraId="5008371B">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24C740CE">
            <w:pPr>
              <w:spacing w:line="44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9</w:t>
            </w:r>
          </w:p>
        </w:tc>
        <w:tc>
          <w:tcPr>
            <w:tcW w:w="8823" w:type="dxa"/>
            <w:gridSpan w:val="2"/>
            <w:tcBorders>
              <w:top w:val="single" w:color="auto" w:sz="8" w:space="0"/>
              <w:left w:val="nil"/>
              <w:bottom w:val="single" w:color="auto" w:sz="8" w:space="0"/>
              <w:right w:val="single" w:color="auto" w:sz="8" w:space="0"/>
            </w:tcBorders>
            <w:vAlign w:val="center"/>
          </w:tcPr>
          <w:p w14:paraId="52197826">
            <w:pPr>
              <w:spacing w:line="440" w:lineRule="exact"/>
              <w:rPr>
                <w:rFonts w:ascii="宋体" w:hAnsi="宋体" w:cs="宋体"/>
                <w:i w:val="0"/>
                <w:iCs w:val="0"/>
                <w:color w:val="auto"/>
                <w:kern w:val="2"/>
                <w:sz w:val="24"/>
                <w:szCs w:val="24"/>
                <w:highlight w:val="none"/>
              </w:rPr>
            </w:pPr>
            <w:r>
              <w:rPr>
                <w:rFonts w:hint="eastAsia" w:ascii="宋体" w:hAnsi="宋体" w:cs="宋体"/>
                <w:b/>
                <w:bCs/>
                <w:i w:val="0"/>
                <w:iCs w:val="0"/>
                <w:color w:val="auto"/>
                <w:kern w:val="2"/>
                <w:sz w:val="24"/>
                <w:szCs w:val="24"/>
                <w:highlight w:val="none"/>
              </w:rPr>
              <w:t>需要补充的其他内容</w:t>
            </w:r>
          </w:p>
        </w:tc>
      </w:tr>
      <w:tr w14:paraId="00C76904">
        <w:tblPrEx>
          <w:tblCellMar>
            <w:top w:w="0" w:type="dxa"/>
            <w:left w:w="0" w:type="dxa"/>
            <w:bottom w:w="0" w:type="dxa"/>
            <w:right w:w="0" w:type="dxa"/>
          </w:tblCellMar>
        </w:tblPrEx>
        <w:trPr>
          <w:trHeight w:val="397" w:hRule="atLeast"/>
          <w:jc w:val="center"/>
        </w:trPr>
        <w:tc>
          <w:tcPr>
            <w:tcW w:w="9882" w:type="dxa"/>
            <w:gridSpan w:val="3"/>
            <w:tcBorders>
              <w:top w:val="single" w:color="auto" w:sz="8" w:space="0"/>
              <w:left w:val="single" w:color="auto" w:sz="8" w:space="0"/>
              <w:bottom w:val="single" w:color="auto" w:sz="8" w:space="0"/>
              <w:right w:val="single" w:color="auto" w:sz="8" w:space="0"/>
            </w:tcBorders>
            <w:vAlign w:val="center"/>
          </w:tcPr>
          <w:p w14:paraId="4AA7E590">
            <w:pPr>
              <w:spacing w:line="440" w:lineRule="exact"/>
              <w:ind w:firstLine="723" w:firstLineChars="300"/>
              <w:rPr>
                <w:rFonts w:ascii="宋体" w:hAnsi="宋体" w:cs="宋体"/>
                <w:b/>
                <w:bCs/>
                <w:i w:val="0"/>
                <w:iCs w:val="0"/>
                <w:color w:val="auto"/>
                <w:kern w:val="2"/>
                <w:sz w:val="24"/>
                <w:szCs w:val="24"/>
                <w:highlight w:val="none"/>
              </w:rPr>
            </w:pPr>
            <w:r>
              <w:rPr>
                <w:rFonts w:hint="eastAsia" w:ascii="宋体" w:hAnsi="宋体" w:cs="宋体"/>
                <w:b/>
                <w:bCs/>
                <w:i w:val="0"/>
                <w:iCs w:val="0"/>
                <w:color w:val="auto"/>
                <w:kern w:val="2"/>
                <w:sz w:val="24"/>
                <w:szCs w:val="24"/>
                <w:highlight w:val="none"/>
              </w:rPr>
              <w:t>/</w:t>
            </w:r>
          </w:p>
        </w:tc>
      </w:tr>
    </w:tbl>
    <w:p w14:paraId="69C36AE0">
      <w:pPr>
        <w:bidi w:val="0"/>
        <w:rPr>
          <w:rFonts w:ascii="宋体" w:hAnsi="宋体" w:eastAsia="宋体" w:cs="宋体"/>
          <w:i w:val="0"/>
          <w:iCs w:val="0"/>
          <w:color w:val="auto"/>
          <w:szCs w:val="28"/>
          <w:highlight w:val="none"/>
        </w:rPr>
      </w:pPr>
      <w:r>
        <w:rPr>
          <w:rFonts w:hint="eastAsia" w:ascii="宋体" w:hAnsi="宋体" w:eastAsia="宋体" w:cs="宋体"/>
          <w:i w:val="0"/>
          <w:iCs w:val="0"/>
          <w:color w:val="auto"/>
          <w:highlight w:val="none"/>
        </w:rPr>
        <w:br w:type="page"/>
      </w:r>
      <w:bookmarkStart w:id="58" w:name="_Toc20589"/>
      <w:bookmarkEnd w:id="58"/>
      <w:bookmarkStart w:id="59" w:name="_Toc27064"/>
      <w:bookmarkEnd w:id="59"/>
      <w:bookmarkStart w:id="60" w:name="_Toc18702"/>
      <w:bookmarkStart w:id="61" w:name="_Toc30210"/>
      <w:bookmarkStart w:id="62" w:name="_Toc19039"/>
      <w:r>
        <w:rPr>
          <w:rFonts w:hint="eastAsia" w:ascii="宋体" w:hAnsi="宋体" w:eastAsia="宋体" w:cs="宋体"/>
          <w:b/>
          <w:bCs/>
          <w:sz w:val="28"/>
          <w:szCs w:val="28"/>
        </w:rPr>
        <w:t>1.总则</w:t>
      </w:r>
      <w:bookmarkEnd w:id="60"/>
      <w:bookmarkEnd w:id="61"/>
      <w:bookmarkEnd w:id="62"/>
    </w:p>
    <w:p w14:paraId="56D2A8DF">
      <w:pPr>
        <w:spacing w:line="360" w:lineRule="auto"/>
        <w:rPr>
          <w:rFonts w:ascii="宋体" w:hAnsi="宋体" w:cs="宋体"/>
          <w:b/>
          <w:i w:val="0"/>
          <w:iCs w:val="0"/>
          <w:color w:val="auto"/>
          <w:sz w:val="24"/>
          <w:szCs w:val="24"/>
          <w:highlight w:val="none"/>
        </w:rPr>
      </w:pPr>
      <w:bookmarkStart w:id="63" w:name="_Toc31335"/>
      <w:bookmarkEnd w:id="63"/>
      <w:bookmarkStart w:id="64" w:name="_Toc700"/>
      <w:r>
        <w:rPr>
          <w:rFonts w:hint="eastAsia" w:ascii="宋体" w:hAnsi="宋体" w:cs="宋体"/>
          <w:b/>
          <w:i w:val="0"/>
          <w:iCs w:val="0"/>
          <w:color w:val="auto"/>
          <w:sz w:val="24"/>
          <w:szCs w:val="24"/>
          <w:highlight w:val="none"/>
        </w:rPr>
        <w:t>1.1 项目概况</w:t>
      </w:r>
      <w:bookmarkEnd w:id="64"/>
    </w:p>
    <w:p w14:paraId="074603D1">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1.1.1根据有关法律、法规和规章的规定，本项目已具备</w:t>
      </w:r>
      <w:r>
        <w:rPr>
          <w:rFonts w:hint="eastAsia" w:ascii="宋体" w:hAnsi="宋体" w:cs="宋体"/>
          <w:i w:val="0"/>
          <w:iCs w:val="0"/>
          <w:color w:val="auto"/>
          <w:sz w:val="24"/>
          <w:szCs w:val="24"/>
          <w:highlight w:val="none"/>
          <w:lang w:eastAsia="zh-CN"/>
        </w:rPr>
        <w:t>招标</w:t>
      </w:r>
      <w:r>
        <w:rPr>
          <w:rFonts w:hint="eastAsia" w:ascii="宋体" w:hAnsi="宋体" w:cs="宋体"/>
          <w:i w:val="0"/>
          <w:iCs w:val="0"/>
          <w:color w:val="auto"/>
          <w:sz w:val="24"/>
          <w:szCs w:val="24"/>
          <w:highlight w:val="none"/>
        </w:rPr>
        <w:t>条件，现对本项目进行</w:t>
      </w:r>
      <w:r>
        <w:rPr>
          <w:rFonts w:hint="eastAsia" w:ascii="宋体" w:hAnsi="宋体" w:cs="宋体"/>
          <w:i w:val="0"/>
          <w:iCs w:val="0"/>
          <w:color w:val="auto"/>
          <w:sz w:val="24"/>
          <w:szCs w:val="24"/>
          <w:highlight w:val="none"/>
          <w:lang w:eastAsia="zh-CN"/>
        </w:rPr>
        <w:t>公开招标</w:t>
      </w:r>
      <w:r>
        <w:rPr>
          <w:rFonts w:hint="eastAsia" w:ascii="宋体" w:hAnsi="宋体" w:cs="宋体"/>
          <w:i w:val="0"/>
          <w:iCs w:val="0"/>
          <w:color w:val="auto"/>
          <w:sz w:val="24"/>
          <w:szCs w:val="24"/>
          <w:highlight w:val="none"/>
        </w:rPr>
        <w:t>。</w:t>
      </w:r>
    </w:p>
    <w:p w14:paraId="57915CA2">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1.1.</w:t>
      </w:r>
      <w:r>
        <w:rPr>
          <w:rFonts w:hint="eastAsia" w:ascii="宋体" w:hAnsi="宋体" w:cs="宋体"/>
          <w:i w:val="0"/>
          <w:iCs w:val="0"/>
          <w:color w:val="auto"/>
          <w:sz w:val="24"/>
          <w:szCs w:val="24"/>
          <w:highlight w:val="none"/>
          <w:lang w:val="en-US" w:eastAsia="zh-CN"/>
        </w:rPr>
        <w:t>2招标</w:t>
      </w:r>
      <w:r>
        <w:rPr>
          <w:rFonts w:hint="eastAsia" w:ascii="宋体" w:hAnsi="宋体" w:cs="宋体"/>
          <w:i w:val="0"/>
          <w:iCs w:val="0"/>
          <w:color w:val="auto"/>
          <w:sz w:val="24"/>
          <w:szCs w:val="24"/>
          <w:highlight w:val="none"/>
        </w:rPr>
        <w:t>项目名称：见投标人须知前附表。</w:t>
      </w:r>
    </w:p>
    <w:p w14:paraId="1C84AA52">
      <w:pPr>
        <w:spacing w:line="360" w:lineRule="auto"/>
        <w:rPr>
          <w:rFonts w:ascii="宋体" w:hAnsi="宋体" w:cs="宋体"/>
          <w:b/>
          <w:i w:val="0"/>
          <w:iCs w:val="0"/>
          <w:color w:val="auto"/>
          <w:sz w:val="24"/>
          <w:szCs w:val="24"/>
          <w:highlight w:val="none"/>
        </w:rPr>
      </w:pPr>
      <w:bookmarkStart w:id="65" w:name="_Toc27395"/>
      <w:bookmarkEnd w:id="65"/>
      <w:bookmarkStart w:id="66" w:name="_Toc28747"/>
      <w:r>
        <w:rPr>
          <w:rFonts w:hint="eastAsia" w:ascii="宋体" w:hAnsi="宋体" w:cs="宋体"/>
          <w:b/>
          <w:i w:val="0"/>
          <w:iCs w:val="0"/>
          <w:color w:val="auto"/>
          <w:sz w:val="24"/>
          <w:szCs w:val="24"/>
          <w:highlight w:val="none"/>
        </w:rPr>
        <w:t xml:space="preserve">1.2 </w:t>
      </w:r>
      <w:r>
        <w:rPr>
          <w:rFonts w:hint="eastAsia" w:ascii="宋体" w:hAnsi="宋体" w:cs="宋体"/>
          <w:b/>
          <w:i w:val="0"/>
          <w:iCs w:val="0"/>
          <w:color w:val="auto"/>
          <w:sz w:val="24"/>
          <w:szCs w:val="24"/>
          <w:highlight w:val="none"/>
          <w:lang w:eastAsia="zh-CN"/>
        </w:rPr>
        <w:t>招标</w:t>
      </w:r>
      <w:r>
        <w:rPr>
          <w:rFonts w:hint="eastAsia" w:ascii="宋体" w:hAnsi="宋体" w:cs="宋体"/>
          <w:b/>
          <w:i w:val="0"/>
          <w:iCs w:val="0"/>
          <w:color w:val="auto"/>
          <w:sz w:val="24"/>
          <w:szCs w:val="24"/>
          <w:highlight w:val="none"/>
        </w:rPr>
        <w:t>项目的资金情况</w:t>
      </w:r>
      <w:bookmarkEnd w:id="66"/>
    </w:p>
    <w:p w14:paraId="610E5C44">
      <w:pPr>
        <w:spacing w:line="360" w:lineRule="auto"/>
        <w:ind w:firstLine="480" w:firstLineChars="200"/>
        <w:rPr>
          <w:rFonts w:hint="eastAsia" w:ascii="宋体" w:hAnsi="宋体" w:eastAsia="宋体" w:cs="宋体"/>
          <w:i w:val="0"/>
          <w:iCs w:val="0"/>
          <w:color w:val="auto"/>
          <w:sz w:val="24"/>
          <w:szCs w:val="24"/>
          <w:highlight w:val="none"/>
          <w:lang w:eastAsia="zh-CN"/>
        </w:rPr>
      </w:pPr>
      <w:r>
        <w:rPr>
          <w:rFonts w:hint="eastAsia" w:ascii="宋体" w:hAnsi="宋体" w:cs="宋体"/>
          <w:i w:val="0"/>
          <w:iCs w:val="0"/>
          <w:color w:val="auto"/>
          <w:sz w:val="24"/>
          <w:szCs w:val="24"/>
          <w:highlight w:val="none"/>
          <w:lang w:eastAsia="zh-CN"/>
        </w:rPr>
        <w:t>已落实</w:t>
      </w:r>
    </w:p>
    <w:p w14:paraId="3D5F594D">
      <w:pPr>
        <w:spacing w:line="360" w:lineRule="auto"/>
        <w:rPr>
          <w:rFonts w:hint="eastAsia" w:ascii="宋体" w:hAnsi="宋体" w:eastAsia="宋体" w:cs="宋体"/>
          <w:b/>
          <w:i w:val="0"/>
          <w:iCs w:val="0"/>
          <w:color w:val="auto"/>
          <w:sz w:val="24"/>
          <w:szCs w:val="24"/>
          <w:highlight w:val="none"/>
          <w:lang w:eastAsia="zh-CN"/>
        </w:rPr>
      </w:pPr>
      <w:bookmarkStart w:id="67" w:name="_Toc16064"/>
      <w:bookmarkEnd w:id="67"/>
      <w:bookmarkStart w:id="68" w:name="_Toc16202"/>
      <w:bookmarkEnd w:id="68"/>
      <w:bookmarkStart w:id="69" w:name="_Toc9179"/>
      <w:r>
        <w:rPr>
          <w:rFonts w:hint="eastAsia" w:ascii="宋体" w:hAnsi="宋体" w:cs="宋体"/>
          <w:b/>
          <w:i w:val="0"/>
          <w:iCs w:val="0"/>
          <w:color w:val="auto"/>
          <w:sz w:val="24"/>
          <w:szCs w:val="24"/>
          <w:highlight w:val="none"/>
        </w:rPr>
        <w:t>1.3</w:t>
      </w:r>
      <w:r>
        <w:rPr>
          <w:rFonts w:hint="eastAsia" w:ascii="宋体" w:hAnsi="宋体" w:cs="宋体"/>
          <w:b/>
          <w:i w:val="0"/>
          <w:iCs w:val="0"/>
          <w:color w:val="auto"/>
          <w:sz w:val="24"/>
          <w:szCs w:val="24"/>
          <w:highlight w:val="none"/>
          <w:lang w:eastAsia="zh-CN"/>
        </w:rPr>
        <w:t>招标</w:t>
      </w:r>
      <w:r>
        <w:rPr>
          <w:rFonts w:hint="eastAsia" w:ascii="宋体" w:hAnsi="宋体" w:cs="宋体"/>
          <w:b/>
          <w:i w:val="0"/>
          <w:iCs w:val="0"/>
          <w:color w:val="auto"/>
          <w:sz w:val="24"/>
          <w:szCs w:val="24"/>
          <w:highlight w:val="none"/>
        </w:rPr>
        <w:t>内容、</w:t>
      </w:r>
      <w:r>
        <w:rPr>
          <w:rFonts w:hint="eastAsia" w:ascii="宋体" w:hAnsi="宋体" w:cs="宋体"/>
          <w:b/>
          <w:i w:val="0"/>
          <w:iCs w:val="0"/>
          <w:color w:val="auto"/>
          <w:sz w:val="24"/>
          <w:szCs w:val="24"/>
          <w:highlight w:val="none"/>
          <w:lang w:eastAsia="zh-CN"/>
        </w:rPr>
        <w:t>交货期</w:t>
      </w:r>
      <w:r>
        <w:rPr>
          <w:rFonts w:hint="eastAsia" w:ascii="宋体" w:hAnsi="宋体" w:cs="宋体"/>
          <w:b/>
          <w:i w:val="0"/>
          <w:iCs w:val="0"/>
          <w:color w:val="auto"/>
          <w:sz w:val="24"/>
          <w:szCs w:val="24"/>
          <w:highlight w:val="none"/>
        </w:rPr>
        <w:t>、</w:t>
      </w:r>
      <w:bookmarkEnd w:id="69"/>
      <w:r>
        <w:rPr>
          <w:rFonts w:hint="eastAsia" w:ascii="宋体" w:hAnsi="宋体" w:cs="宋体"/>
          <w:b/>
          <w:i w:val="0"/>
          <w:iCs w:val="0"/>
          <w:color w:val="auto"/>
          <w:sz w:val="24"/>
          <w:szCs w:val="24"/>
          <w:highlight w:val="none"/>
          <w:lang w:eastAsia="zh-CN"/>
        </w:rPr>
        <w:t>交货地点</w:t>
      </w:r>
    </w:p>
    <w:p w14:paraId="4FE24916">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1.3.1</w:t>
      </w:r>
      <w:r>
        <w:rPr>
          <w:rFonts w:hint="eastAsia" w:ascii="宋体" w:hAnsi="宋体" w:cs="宋体"/>
          <w:i w:val="0"/>
          <w:iCs w:val="0"/>
          <w:color w:val="auto"/>
          <w:sz w:val="24"/>
          <w:szCs w:val="24"/>
          <w:highlight w:val="none"/>
          <w:lang w:eastAsia="zh-CN"/>
        </w:rPr>
        <w:t>招标</w:t>
      </w:r>
      <w:r>
        <w:rPr>
          <w:rFonts w:hint="eastAsia" w:ascii="宋体" w:hAnsi="宋体" w:cs="宋体"/>
          <w:i w:val="0"/>
          <w:iCs w:val="0"/>
          <w:color w:val="auto"/>
          <w:sz w:val="24"/>
          <w:szCs w:val="24"/>
          <w:highlight w:val="none"/>
        </w:rPr>
        <w:t>内容：见投标人须知前附表。</w:t>
      </w:r>
    </w:p>
    <w:p w14:paraId="5006B364">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1.3.2</w:t>
      </w:r>
      <w:r>
        <w:rPr>
          <w:rFonts w:hint="eastAsia" w:ascii="宋体" w:hAnsi="宋体" w:cs="宋体"/>
          <w:i w:val="0"/>
          <w:iCs w:val="0"/>
          <w:color w:val="auto"/>
          <w:sz w:val="24"/>
          <w:szCs w:val="24"/>
          <w:highlight w:val="none"/>
          <w:lang w:eastAsia="zh-CN"/>
        </w:rPr>
        <w:t>交货期</w:t>
      </w:r>
      <w:r>
        <w:rPr>
          <w:rFonts w:hint="eastAsia" w:ascii="宋体" w:hAnsi="宋体" w:cs="宋体"/>
          <w:i w:val="0"/>
          <w:iCs w:val="0"/>
          <w:color w:val="auto"/>
          <w:sz w:val="24"/>
          <w:szCs w:val="24"/>
          <w:highlight w:val="none"/>
        </w:rPr>
        <w:t>：见投标人须知前附表。</w:t>
      </w:r>
    </w:p>
    <w:p w14:paraId="0350CF56">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1.3.3</w:t>
      </w:r>
      <w:r>
        <w:rPr>
          <w:rFonts w:hint="eastAsia" w:ascii="宋体" w:hAnsi="宋体" w:cs="宋体"/>
          <w:i w:val="0"/>
          <w:iCs w:val="0"/>
          <w:color w:val="auto"/>
          <w:sz w:val="24"/>
          <w:szCs w:val="24"/>
          <w:highlight w:val="none"/>
          <w:lang w:eastAsia="zh-CN"/>
        </w:rPr>
        <w:t>交货地点</w:t>
      </w:r>
      <w:r>
        <w:rPr>
          <w:rFonts w:hint="eastAsia" w:ascii="宋体" w:hAnsi="宋体" w:cs="宋体"/>
          <w:i w:val="0"/>
          <w:iCs w:val="0"/>
          <w:color w:val="auto"/>
          <w:sz w:val="24"/>
          <w:szCs w:val="24"/>
          <w:highlight w:val="none"/>
        </w:rPr>
        <w:t>：见投标人须知前附表。</w:t>
      </w:r>
    </w:p>
    <w:p w14:paraId="46593912">
      <w:pPr>
        <w:spacing w:line="360" w:lineRule="auto"/>
        <w:rPr>
          <w:rFonts w:ascii="宋体" w:hAnsi="宋体" w:cs="宋体"/>
          <w:b/>
          <w:i w:val="0"/>
          <w:iCs w:val="0"/>
          <w:color w:val="auto"/>
          <w:sz w:val="24"/>
          <w:szCs w:val="24"/>
          <w:highlight w:val="none"/>
        </w:rPr>
      </w:pPr>
      <w:bookmarkStart w:id="70" w:name="_Toc17694"/>
      <w:bookmarkEnd w:id="70"/>
      <w:bookmarkStart w:id="71" w:name="_Toc10611"/>
      <w:r>
        <w:rPr>
          <w:rFonts w:hint="eastAsia" w:ascii="宋体" w:hAnsi="宋体" w:cs="宋体"/>
          <w:b/>
          <w:i w:val="0"/>
          <w:iCs w:val="0"/>
          <w:color w:val="auto"/>
          <w:sz w:val="24"/>
          <w:szCs w:val="24"/>
          <w:highlight w:val="none"/>
        </w:rPr>
        <w:t xml:space="preserve">1.4 </w:t>
      </w:r>
      <w:r>
        <w:rPr>
          <w:rFonts w:hint="eastAsia" w:ascii="宋体" w:hAnsi="宋体" w:cs="宋体"/>
          <w:b/>
          <w:i w:val="0"/>
          <w:iCs w:val="0"/>
          <w:color w:val="auto"/>
          <w:sz w:val="24"/>
          <w:szCs w:val="24"/>
          <w:highlight w:val="none"/>
          <w:lang w:eastAsia="zh-CN"/>
        </w:rPr>
        <w:t>投标</w:t>
      </w:r>
      <w:r>
        <w:rPr>
          <w:rFonts w:hint="eastAsia" w:ascii="宋体" w:hAnsi="宋体" w:cs="宋体"/>
          <w:b/>
          <w:i w:val="0"/>
          <w:iCs w:val="0"/>
          <w:color w:val="auto"/>
          <w:sz w:val="24"/>
          <w:szCs w:val="24"/>
          <w:highlight w:val="none"/>
        </w:rPr>
        <w:t>人资格要求</w:t>
      </w:r>
      <w:bookmarkEnd w:id="71"/>
    </w:p>
    <w:p w14:paraId="22874EC3">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1.4.1</w:t>
      </w:r>
      <w:r>
        <w:rPr>
          <w:rFonts w:hint="eastAsia" w:ascii="宋体" w:hAnsi="宋体" w:cs="宋体"/>
          <w:i w:val="0"/>
          <w:iCs w:val="0"/>
          <w:color w:val="auto"/>
          <w:sz w:val="24"/>
          <w:szCs w:val="24"/>
          <w:highlight w:val="none"/>
          <w:lang w:eastAsia="zh-CN"/>
        </w:rPr>
        <w:t>投标</w:t>
      </w:r>
      <w:r>
        <w:rPr>
          <w:rFonts w:hint="eastAsia" w:ascii="宋体" w:hAnsi="宋体" w:cs="宋体"/>
          <w:i w:val="0"/>
          <w:iCs w:val="0"/>
          <w:color w:val="auto"/>
          <w:sz w:val="24"/>
          <w:szCs w:val="24"/>
          <w:highlight w:val="none"/>
        </w:rPr>
        <w:t>人应具备资格要求：详见投标人须知前附表；</w:t>
      </w:r>
    </w:p>
    <w:p w14:paraId="470610AE">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1.4.2投标人须知前附表规定接受联合体投标的，联合体除应符合本章第1.4.1项和投标人须知前附表的要求外，还应遵守以下规定：</w:t>
      </w:r>
    </w:p>
    <w:p w14:paraId="59691D7A">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（1）联合体各方应按</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提供的格式签订联合体协议书，明确联合体牵头人和各方权利义务，并承诺就</w:t>
      </w:r>
      <w:r>
        <w:rPr>
          <w:rFonts w:hint="eastAsia" w:ascii="宋体" w:hAnsi="宋体" w:cs="宋体"/>
          <w:i w:val="0"/>
          <w:iCs w:val="0"/>
          <w:color w:val="auto"/>
          <w:sz w:val="24"/>
          <w:szCs w:val="24"/>
          <w:highlight w:val="none"/>
          <w:lang w:eastAsia="zh-CN"/>
        </w:rPr>
        <w:t>中选</w:t>
      </w:r>
      <w:r>
        <w:rPr>
          <w:rFonts w:hint="eastAsia" w:ascii="宋体" w:hAnsi="宋体" w:cs="宋体"/>
          <w:i w:val="0"/>
          <w:iCs w:val="0"/>
          <w:color w:val="auto"/>
          <w:sz w:val="24"/>
          <w:szCs w:val="24"/>
          <w:highlight w:val="none"/>
        </w:rPr>
        <w:t>项目向</w:t>
      </w:r>
      <w:r>
        <w:rPr>
          <w:rFonts w:hint="eastAsia" w:ascii="宋体" w:hAnsi="宋体" w:cs="宋体"/>
          <w:i w:val="0"/>
          <w:iCs w:val="0"/>
          <w:color w:val="auto"/>
          <w:sz w:val="24"/>
          <w:szCs w:val="24"/>
          <w:highlight w:val="none"/>
          <w:lang w:eastAsia="zh-CN"/>
        </w:rPr>
        <w:t>采购人</w:t>
      </w:r>
      <w:r>
        <w:rPr>
          <w:rFonts w:hint="eastAsia" w:ascii="宋体" w:hAnsi="宋体" w:cs="宋体"/>
          <w:i w:val="0"/>
          <w:iCs w:val="0"/>
          <w:color w:val="auto"/>
          <w:sz w:val="24"/>
          <w:szCs w:val="24"/>
          <w:highlight w:val="none"/>
        </w:rPr>
        <w:t>承担连带责任；</w:t>
      </w:r>
    </w:p>
    <w:p w14:paraId="363F5032">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（2）由同一专业的单位组成的联合体，按照资质等级较低的单位确定资质等级；</w:t>
      </w:r>
    </w:p>
    <w:p w14:paraId="45FE2FB5">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（3）联合体各方不得再以自己名义单独或参加其他联合体在本</w:t>
      </w:r>
      <w:r>
        <w:rPr>
          <w:rFonts w:hint="eastAsia" w:ascii="宋体" w:hAnsi="宋体" w:cs="宋体"/>
          <w:i w:val="0"/>
          <w:iCs w:val="0"/>
          <w:color w:val="auto"/>
          <w:sz w:val="24"/>
          <w:szCs w:val="24"/>
          <w:highlight w:val="none"/>
          <w:lang w:eastAsia="zh-CN"/>
        </w:rPr>
        <w:t>招标</w:t>
      </w:r>
      <w:r>
        <w:rPr>
          <w:rFonts w:hint="eastAsia" w:ascii="宋体" w:hAnsi="宋体" w:cs="宋体"/>
          <w:i w:val="0"/>
          <w:iCs w:val="0"/>
          <w:color w:val="auto"/>
          <w:sz w:val="24"/>
          <w:szCs w:val="24"/>
          <w:highlight w:val="none"/>
        </w:rPr>
        <w:t>项目中</w:t>
      </w:r>
      <w:r>
        <w:rPr>
          <w:rFonts w:hint="eastAsia" w:ascii="宋体" w:hAnsi="宋体" w:cs="宋体"/>
          <w:i w:val="0"/>
          <w:iCs w:val="0"/>
          <w:color w:val="auto"/>
          <w:sz w:val="24"/>
          <w:szCs w:val="24"/>
          <w:highlight w:val="none"/>
          <w:lang w:eastAsia="zh-CN"/>
        </w:rPr>
        <w:t>参与投标</w:t>
      </w:r>
      <w:r>
        <w:rPr>
          <w:rFonts w:hint="eastAsia" w:ascii="宋体" w:hAnsi="宋体" w:cs="宋体"/>
          <w:i w:val="0"/>
          <w:iCs w:val="0"/>
          <w:color w:val="auto"/>
          <w:sz w:val="24"/>
          <w:szCs w:val="24"/>
          <w:highlight w:val="none"/>
        </w:rPr>
        <w:t>，否则各相关</w:t>
      </w:r>
      <w:r>
        <w:rPr>
          <w:rFonts w:hint="eastAsia" w:ascii="宋体" w:hAnsi="宋体" w:cs="宋体"/>
          <w:i w:val="0"/>
          <w:iCs w:val="0"/>
          <w:color w:val="auto"/>
          <w:sz w:val="24"/>
          <w:szCs w:val="24"/>
          <w:highlight w:val="none"/>
          <w:lang w:eastAsia="zh-CN"/>
        </w:rPr>
        <w:t>投标</w:t>
      </w:r>
      <w:r>
        <w:rPr>
          <w:rFonts w:hint="eastAsia" w:ascii="宋体" w:hAnsi="宋体" w:cs="宋体"/>
          <w:i w:val="0"/>
          <w:iCs w:val="0"/>
          <w:color w:val="auto"/>
          <w:sz w:val="24"/>
          <w:szCs w:val="24"/>
          <w:highlight w:val="none"/>
        </w:rPr>
        <w:t>均无效。</w:t>
      </w:r>
    </w:p>
    <w:p w14:paraId="680DFFBA">
      <w:pPr>
        <w:spacing w:line="360" w:lineRule="auto"/>
        <w:rPr>
          <w:rFonts w:ascii="宋体" w:hAnsi="宋体" w:cs="宋体"/>
          <w:b/>
          <w:i w:val="0"/>
          <w:iCs w:val="0"/>
          <w:color w:val="auto"/>
          <w:sz w:val="24"/>
          <w:szCs w:val="24"/>
          <w:highlight w:val="none"/>
        </w:rPr>
      </w:pPr>
      <w:bookmarkStart w:id="72" w:name="_Toc27960"/>
      <w:bookmarkEnd w:id="72"/>
      <w:bookmarkStart w:id="73" w:name="_Toc18144"/>
      <w:r>
        <w:rPr>
          <w:rFonts w:hint="eastAsia" w:ascii="宋体" w:hAnsi="宋体" w:cs="宋体"/>
          <w:b/>
          <w:i w:val="0"/>
          <w:iCs w:val="0"/>
          <w:color w:val="auto"/>
          <w:sz w:val="24"/>
          <w:szCs w:val="24"/>
          <w:highlight w:val="none"/>
        </w:rPr>
        <w:t>1.5 费用承担</w:t>
      </w:r>
      <w:bookmarkEnd w:id="73"/>
    </w:p>
    <w:p w14:paraId="0B1158CA">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1.5.1</w:t>
      </w:r>
      <w:r>
        <w:rPr>
          <w:rFonts w:hint="eastAsia" w:ascii="宋体" w:hAnsi="宋体" w:cs="宋体"/>
          <w:i w:val="0"/>
          <w:iCs w:val="0"/>
          <w:color w:val="auto"/>
          <w:sz w:val="24"/>
          <w:szCs w:val="24"/>
          <w:highlight w:val="none"/>
          <w:lang w:eastAsia="zh-CN"/>
        </w:rPr>
        <w:t>投标人</w:t>
      </w:r>
      <w:r>
        <w:rPr>
          <w:rFonts w:hint="eastAsia" w:ascii="宋体" w:hAnsi="宋体" w:cs="宋体"/>
          <w:i w:val="0"/>
          <w:iCs w:val="0"/>
          <w:color w:val="auto"/>
          <w:sz w:val="24"/>
          <w:szCs w:val="24"/>
          <w:highlight w:val="none"/>
        </w:rPr>
        <w:t>应承担所有与编写和提交</w:t>
      </w:r>
      <w:r>
        <w:rPr>
          <w:rFonts w:hint="eastAsia" w:ascii="宋体" w:hAnsi="宋体" w:cs="宋体"/>
          <w:i w:val="0"/>
          <w:iCs w:val="0"/>
          <w:color w:val="auto"/>
          <w:sz w:val="24"/>
          <w:szCs w:val="24"/>
          <w:highlight w:val="none"/>
          <w:lang w:eastAsia="zh-CN"/>
        </w:rPr>
        <w:t>投标</w:t>
      </w:r>
      <w:r>
        <w:rPr>
          <w:rFonts w:hint="eastAsia" w:ascii="宋体" w:hAnsi="宋体" w:cs="宋体"/>
          <w:i w:val="0"/>
          <w:iCs w:val="0"/>
          <w:color w:val="auto"/>
          <w:sz w:val="24"/>
          <w:szCs w:val="24"/>
          <w:highlight w:val="none"/>
        </w:rPr>
        <w:t>文件有关的费用，不论</w:t>
      </w:r>
      <w:r>
        <w:rPr>
          <w:rFonts w:hint="eastAsia" w:ascii="宋体" w:hAnsi="宋体" w:cs="宋体"/>
          <w:i w:val="0"/>
          <w:iCs w:val="0"/>
          <w:color w:val="auto"/>
          <w:sz w:val="24"/>
          <w:szCs w:val="24"/>
          <w:highlight w:val="none"/>
          <w:lang w:eastAsia="zh-CN"/>
        </w:rPr>
        <w:t>投标</w:t>
      </w:r>
      <w:r>
        <w:rPr>
          <w:rFonts w:hint="eastAsia" w:ascii="宋体" w:hAnsi="宋体" w:cs="宋体"/>
          <w:i w:val="0"/>
          <w:iCs w:val="0"/>
          <w:color w:val="auto"/>
          <w:sz w:val="24"/>
          <w:szCs w:val="24"/>
          <w:highlight w:val="none"/>
        </w:rPr>
        <w:t>的结果如何，</w:t>
      </w:r>
      <w:r>
        <w:rPr>
          <w:rFonts w:hint="eastAsia" w:ascii="宋体" w:hAnsi="宋体" w:cs="宋体"/>
          <w:i w:val="0"/>
          <w:iCs w:val="0"/>
          <w:color w:val="auto"/>
          <w:sz w:val="24"/>
          <w:szCs w:val="24"/>
          <w:highlight w:val="none"/>
          <w:lang w:eastAsia="zh-CN"/>
        </w:rPr>
        <w:t>采购人</w:t>
      </w:r>
      <w:r>
        <w:rPr>
          <w:rFonts w:hint="eastAsia" w:ascii="宋体" w:hAnsi="宋体" w:cs="宋体"/>
          <w:i w:val="0"/>
          <w:iCs w:val="0"/>
          <w:color w:val="auto"/>
          <w:sz w:val="24"/>
          <w:szCs w:val="24"/>
          <w:highlight w:val="none"/>
        </w:rPr>
        <w:t>在任何情况下均无义务和责任承担这些费用。</w:t>
      </w:r>
    </w:p>
    <w:p w14:paraId="4F332729">
      <w:pPr>
        <w:spacing w:line="360" w:lineRule="auto"/>
        <w:rPr>
          <w:rFonts w:ascii="宋体" w:hAnsi="宋体" w:cs="宋体"/>
          <w:b/>
          <w:i w:val="0"/>
          <w:iCs w:val="0"/>
          <w:color w:val="auto"/>
          <w:sz w:val="24"/>
          <w:szCs w:val="24"/>
          <w:highlight w:val="none"/>
        </w:rPr>
      </w:pPr>
      <w:bookmarkStart w:id="74" w:name="_Toc6230"/>
      <w:bookmarkEnd w:id="74"/>
      <w:bookmarkStart w:id="75" w:name="_Toc16680"/>
      <w:r>
        <w:rPr>
          <w:rFonts w:hint="eastAsia" w:ascii="宋体" w:hAnsi="宋体" w:cs="宋体"/>
          <w:b/>
          <w:i w:val="0"/>
          <w:iCs w:val="0"/>
          <w:color w:val="auto"/>
          <w:sz w:val="24"/>
          <w:szCs w:val="24"/>
          <w:highlight w:val="none"/>
        </w:rPr>
        <w:t>1.6 保密</w:t>
      </w:r>
      <w:bookmarkEnd w:id="75"/>
    </w:p>
    <w:p w14:paraId="75F1077F">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参与</w:t>
      </w:r>
      <w:r>
        <w:rPr>
          <w:rFonts w:hint="eastAsia" w:ascii="宋体" w:hAnsi="宋体" w:cs="宋体"/>
          <w:i w:val="0"/>
          <w:iCs w:val="0"/>
          <w:color w:val="auto"/>
          <w:sz w:val="24"/>
          <w:szCs w:val="24"/>
          <w:highlight w:val="none"/>
          <w:lang w:eastAsia="zh-CN"/>
        </w:rPr>
        <w:t>投标</w:t>
      </w:r>
      <w:r>
        <w:rPr>
          <w:rFonts w:hint="eastAsia" w:ascii="宋体" w:hAnsi="宋体" w:cs="宋体"/>
          <w:i w:val="0"/>
          <w:iCs w:val="0"/>
          <w:color w:val="auto"/>
          <w:sz w:val="24"/>
          <w:szCs w:val="24"/>
          <w:highlight w:val="none"/>
        </w:rPr>
        <w:t>活动的各方应对</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和</w:t>
      </w:r>
      <w:r>
        <w:rPr>
          <w:rFonts w:hint="eastAsia" w:ascii="宋体" w:hAnsi="宋体" w:cs="宋体"/>
          <w:i w:val="0"/>
          <w:iCs w:val="0"/>
          <w:color w:val="auto"/>
          <w:sz w:val="24"/>
          <w:szCs w:val="24"/>
          <w:highlight w:val="none"/>
          <w:lang w:eastAsia="zh-CN"/>
        </w:rPr>
        <w:t>投标</w:t>
      </w:r>
      <w:r>
        <w:rPr>
          <w:rFonts w:hint="eastAsia" w:ascii="宋体" w:hAnsi="宋体" w:cs="宋体"/>
          <w:i w:val="0"/>
          <w:iCs w:val="0"/>
          <w:color w:val="auto"/>
          <w:sz w:val="24"/>
          <w:szCs w:val="24"/>
          <w:highlight w:val="none"/>
        </w:rPr>
        <w:t>文件中的商业和技术等秘密保密，</w:t>
      </w:r>
      <w:r>
        <w:rPr>
          <w:rFonts w:hint="eastAsia" w:ascii="宋体" w:hAnsi="宋体" w:cs="宋体"/>
          <w:i w:val="0"/>
          <w:iCs w:val="0"/>
          <w:color w:val="auto"/>
          <w:sz w:val="24"/>
          <w:szCs w:val="24"/>
          <w:highlight w:val="none"/>
          <w:lang w:eastAsia="zh-CN"/>
        </w:rPr>
        <w:t>否</w:t>
      </w:r>
      <w:r>
        <w:rPr>
          <w:rFonts w:hint="eastAsia" w:ascii="宋体" w:hAnsi="宋体" w:cs="宋体"/>
          <w:i w:val="0"/>
          <w:iCs w:val="0"/>
          <w:color w:val="auto"/>
          <w:sz w:val="24"/>
          <w:szCs w:val="24"/>
          <w:highlight w:val="none"/>
        </w:rPr>
        <w:t>则应承担相应的法律责任。</w:t>
      </w:r>
    </w:p>
    <w:p w14:paraId="74FC9DE4">
      <w:pPr>
        <w:spacing w:line="360" w:lineRule="auto"/>
        <w:rPr>
          <w:rFonts w:ascii="宋体" w:hAnsi="宋体" w:cs="宋体"/>
          <w:b/>
          <w:i w:val="0"/>
          <w:iCs w:val="0"/>
          <w:color w:val="auto"/>
          <w:sz w:val="24"/>
          <w:szCs w:val="24"/>
          <w:highlight w:val="none"/>
        </w:rPr>
      </w:pPr>
      <w:bookmarkStart w:id="76" w:name="_Toc31781"/>
      <w:bookmarkEnd w:id="76"/>
      <w:bookmarkStart w:id="77" w:name="_Toc787"/>
      <w:r>
        <w:rPr>
          <w:rFonts w:hint="eastAsia" w:ascii="宋体" w:hAnsi="宋体" w:cs="宋体"/>
          <w:b/>
          <w:i w:val="0"/>
          <w:iCs w:val="0"/>
          <w:color w:val="auto"/>
          <w:sz w:val="24"/>
          <w:szCs w:val="24"/>
          <w:highlight w:val="none"/>
        </w:rPr>
        <w:t>1.7 语言文字</w:t>
      </w:r>
      <w:bookmarkEnd w:id="77"/>
    </w:p>
    <w:p w14:paraId="155AAFA2">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lang w:eastAsia="zh-CN"/>
        </w:rPr>
        <w:t>投标</w:t>
      </w:r>
      <w:r>
        <w:rPr>
          <w:rFonts w:hint="eastAsia" w:ascii="宋体" w:hAnsi="宋体" w:cs="宋体"/>
          <w:i w:val="0"/>
          <w:iCs w:val="0"/>
          <w:color w:val="auto"/>
          <w:sz w:val="24"/>
          <w:szCs w:val="24"/>
          <w:highlight w:val="none"/>
        </w:rPr>
        <w:t>文件使用的语言文字为中文。专用术语使用外文的，应附有中文注释。</w:t>
      </w:r>
    </w:p>
    <w:p w14:paraId="1A75C200">
      <w:pPr>
        <w:spacing w:line="360" w:lineRule="auto"/>
        <w:rPr>
          <w:rFonts w:ascii="宋体" w:hAnsi="宋体" w:cs="宋体"/>
          <w:b/>
          <w:i w:val="0"/>
          <w:iCs w:val="0"/>
          <w:color w:val="auto"/>
          <w:sz w:val="24"/>
          <w:szCs w:val="24"/>
          <w:highlight w:val="none"/>
        </w:rPr>
      </w:pPr>
      <w:bookmarkStart w:id="78" w:name="_Toc29423"/>
      <w:bookmarkEnd w:id="78"/>
      <w:bookmarkStart w:id="79" w:name="_Toc29116"/>
      <w:r>
        <w:rPr>
          <w:rFonts w:hint="eastAsia" w:ascii="宋体" w:hAnsi="宋体" w:cs="宋体"/>
          <w:b/>
          <w:i w:val="0"/>
          <w:iCs w:val="0"/>
          <w:color w:val="auto"/>
          <w:sz w:val="24"/>
          <w:szCs w:val="24"/>
          <w:highlight w:val="none"/>
        </w:rPr>
        <w:t>1.8 计量单位</w:t>
      </w:r>
      <w:bookmarkEnd w:id="79"/>
    </w:p>
    <w:p w14:paraId="2018AE7B">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所有计量均采用中华人民共和国法定计量单位。</w:t>
      </w:r>
    </w:p>
    <w:p w14:paraId="6D40330F">
      <w:pPr>
        <w:spacing w:line="360" w:lineRule="auto"/>
        <w:rPr>
          <w:rFonts w:ascii="宋体" w:hAnsi="宋体" w:cs="宋体"/>
          <w:b/>
          <w:i w:val="0"/>
          <w:iCs w:val="0"/>
          <w:color w:val="auto"/>
          <w:sz w:val="24"/>
          <w:szCs w:val="24"/>
          <w:highlight w:val="none"/>
        </w:rPr>
      </w:pPr>
      <w:bookmarkStart w:id="80" w:name="_Toc247592876"/>
      <w:bookmarkEnd w:id="80"/>
      <w:bookmarkStart w:id="81" w:name="_Toc29812"/>
      <w:bookmarkEnd w:id="81"/>
      <w:bookmarkStart w:id="82" w:name="_Toc144974507"/>
      <w:bookmarkEnd w:id="82"/>
      <w:bookmarkStart w:id="83" w:name="_Toc247527563"/>
      <w:bookmarkEnd w:id="83"/>
      <w:bookmarkStart w:id="84" w:name="_Toc247513962"/>
      <w:bookmarkEnd w:id="84"/>
      <w:bookmarkStart w:id="85" w:name="_Toc152042315"/>
      <w:bookmarkEnd w:id="85"/>
      <w:bookmarkStart w:id="86" w:name="_Toc152045539"/>
      <w:bookmarkEnd w:id="86"/>
      <w:bookmarkStart w:id="87" w:name="_Toc296602429"/>
      <w:bookmarkEnd w:id="87"/>
      <w:bookmarkStart w:id="88" w:name="_Toc29408"/>
      <w:r>
        <w:rPr>
          <w:rFonts w:hint="eastAsia" w:ascii="宋体" w:hAnsi="宋体" w:cs="宋体"/>
          <w:b/>
          <w:i w:val="0"/>
          <w:iCs w:val="0"/>
          <w:color w:val="auto"/>
          <w:sz w:val="24"/>
          <w:szCs w:val="24"/>
          <w:highlight w:val="none"/>
        </w:rPr>
        <w:t>1.9 现场</w:t>
      </w:r>
      <w:bookmarkEnd w:id="88"/>
      <w:r>
        <w:rPr>
          <w:rFonts w:hint="eastAsia" w:ascii="宋体" w:hAnsi="宋体" w:cs="宋体"/>
          <w:b/>
          <w:i w:val="0"/>
          <w:iCs w:val="0"/>
          <w:color w:val="auto"/>
          <w:sz w:val="24"/>
          <w:szCs w:val="24"/>
          <w:highlight w:val="none"/>
        </w:rPr>
        <w:t>考察</w:t>
      </w:r>
    </w:p>
    <w:p w14:paraId="7CCC0B23">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 xml:space="preserve">1.9.1投标人须知前附表规定组织现场考察的，招标人按投标人须知前附表规定的时间、地点组织投标人考察项目现场。 </w:t>
      </w:r>
    </w:p>
    <w:p w14:paraId="2AA1BBC6">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1.9.2投标人考察现场发生的费用自理。</w:t>
      </w:r>
    </w:p>
    <w:p w14:paraId="4CAC86FF">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1.9.3除招标人的原因外，投标人自行负责在考察现场中所发生的人员伤亡和财产损失。</w:t>
      </w:r>
    </w:p>
    <w:p w14:paraId="10BDE733">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1.9.4招标人在考察现场中介绍的项目场地和相关的周边环境情况，供投标人在编制投标文件时参考，招标人不对投标人据此作出的判断和决策负责。</w:t>
      </w:r>
    </w:p>
    <w:p w14:paraId="0ABA1258">
      <w:pPr>
        <w:bidi w:val="0"/>
        <w:rPr>
          <w:rFonts w:hint="eastAsia" w:ascii="宋体" w:hAnsi="宋体" w:eastAsia="宋体" w:cs="宋体"/>
          <w:b/>
          <w:bCs/>
          <w:sz w:val="28"/>
          <w:szCs w:val="28"/>
          <w:lang w:eastAsia="zh-CN"/>
        </w:rPr>
      </w:pPr>
      <w:bookmarkStart w:id="89" w:name="_Toc32012"/>
      <w:bookmarkEnd w:id="89"/>
      <w:bookmarkStart w:id="90" w:name="_Toc587"/>
      <w:bookmarkEnd w:id="90"/>
      <w:bookmarkStart w:id="91" w:name="_Toc31795"/>
      <w:bookmarkEnd w:id="91"/>
      <w:bookmarkStart w:id="92" w:name="_Toc31848"/>
      <w:bookmarkEnd w:id="92"/>
      <w:bookmarkStart w:id="93" w:name="_Toc25840"/>
      <w:bookmarkStart w:id="94" w:name="_Toc31733"/>
      <w:bookmarkStart w:id="95" w:name="_Toc10836"/>
      <w:r>
        <w:rPr>
          <w:rFonts w:hint="eastAsia" w:ascii="宋体" w:hAnsi="宋体" w:eastAsia="宋体" w:cs="宋体"/>
          <w:b/>
          <w:bCs/>
          <w:sz w:val="28"/>
          <w:szCs w:val="28"/>
        </w:rPr>
        <w:t>2.</w:t>
      </w:r>
      <w:bookmarkEnd w:id="93"/>
      <w:bookmarkEnd w:id="94"/>
      <w:bookmarkEnd w:id="95"/>
      <w:r>
        <w:rPr>
          <w:rFonts w:hint="eastAsia" w:ascii="宋体" w:hAnsi="宋体" w:eastAsia="宋体" w:cs="宋体"/>
          <w:b/>
          <w:bCs/>
          <w:sz w:val="28"/>
          <w:szCs w:val="28"/>
          <w:lang w:eastAsia="zh-CN"/>
        </w:rPr>
        <w:t>招标文件</w:t>
      </w:r>
    </w:p>
    <w:p w14:paraId="1A249F48">
      <w:pPr>
        <w:spacing w:line="360" w:lineRule="auto"/>
        <w:rPr>
          <w:rFonts w:ascii="宋体" w:hAnsi="宋体" w:cs="宋体"/>
          <w:b/>
          <w:i w:val="0"/>
          <w:iCs w:val="0"/>
          <w:color w:val="auto"/>
          <w:sz w:val="24"/>
          <w:szCs w:val="24"/>
          <w:highlight w:val="none"/>
        </w:rPr>
      </w:pPr>
      <w:bookmarkStart w:id="96" w:name="_Toc21536"/>
      <w:bookmarkEnd w:id="96"/>
      <w:bookmarkStart w:id="97" w:name="_Toc16596"/>
      <w:r>
        <w:rPr>
          <w:rFonts w:hint="eastAsia" w:ascii="宋体" w:hAnsi="宋体" w:cs="宋体"/>
          <w:b/>
          <w:i w:val="0"/>
          <w:iCs w:val="0"/>
          <w:color w:val="auto"/>
          <w:sz w:val="24"/>
          <w:szCs w:val="24"/>
          <w:highlight w:val="none"/>
        </w:rPr>
        <w:t xml:space="preserve">2.1 </w:t>
      </w:r>
      <w:r>
        <w:rPr>
          <w:rFonts w:hint="eastAsia" w:ascii="宋体" w:hAnsi="宋体" w:cs="宋体"/>
          <w:b/>
          <w:i w:val="0"/>
          <w:iCs w:val="0"/>
          <w:color w:val="auto"/>
          <w:sz w:val="24"/>
          <w:szCs w:val="24"/>
          <w:highlight w:val="none"/>
          <w:lang w:eastAsia="zh-CN"/>
        </w:rPr>
        <w:t>招标文件</w:t>
      </w:r>
      <w:r>
        <w:rPr>
          <w:rFonts w:hint="eastAsia" w:ascii="宋体" w:hAnsi="宋体" w:cs="宋体"/>
          <w:b/>
          <w:i w:val="0"/>
          <w:iCs w:val="0"/>
          <w:color w:val="auto"/>
          <w:sz w:val="24"/>
          <w:szCs w:val="24"/>
          <w:highlight w:val="none"/>
        </w:rPr>
        <w:t>的组成</w:t>
      </w:r>
      <w:bookmarkEnd w:id="97"/>
    </w:p>
    <w:p w14:paraId="1C71BE0C">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本</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包括：</w:t>
      </w:r>
    </w:p>
    <w:p w14:paraId="4E210D5F">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w:t>
      </w:r>
      <w:r>
        <w:rPr>
          <w:rFonts w:hint="eastAsia" w:ascii="宋体" w:hAnsi="宋体" w:cs="宋体"/>
          <w:i w:val="0"/>
          <w:iCs w:val="0"/>
          <w:color w:val="auto"/>
          <w:sz w:val="24"/>
          <w:szCs w:val="24"/>
          <w:highlight w:val="none"/>
          <w:lang w:eastAsia="zh-CN"/>
        </w:rPr>
        <w:t>招标公告</w:t>
      </w:r>
      <w:r>
        <w:rPr>
          <w:rFonts w:hint="eastAsia" w:ascii="宋体" w:hAnsi="宋体" w:cs="宋体"/>
          <w:i w:val="0"/>
          <w:iCs w:val="0"/>
          <w:color w:val="auto"/>
          <w:sz w:val="24"/>
          <w:szCs w:val="24"/>
          <w:highlight w:val="none"/>
        </w:rPr>
        <w:t>；</w:t>
      </w:r>
    </w:p>
    <w:p w14:paraId="50155403">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(2)投标人须知；</w:t>
      </w:r>
    </w:p>
    <w:p w14:paraId="2BD01604">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(3)评标办法；</w:t>
      </w:r>
    </w:p>
    <w:p w14:paraId="303D8FB3">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(4)合同条款及格式；</w:t>
      </w:r>
    </w:p>
    <w:p w14:paraId="19E30F81">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(5)</w:t>
      </w:r>
      <w:r>
        <w:rPr>
          <w:rFonts w:hint="eastAsia" w:ascii="宋体" w:hAnsi="宋体" w:cs="宋体"/>
          <w:i w:val="0"/>
          <w:iCs w:val="0"/>
          <w:color w:val="auto"/>
          <w:sz w:val="24"/>
          <w:szCs w:val="24"/>
          <w:highlight w:val="none"/>
          <w:lang w:eastAsia="zh-CN"/>
        </w:rPr>
        <w:t>采购内容及要求</w:t>
      </w:r>
      <w:r>
        <w:rPr>
          <w:rFonts w:hint="eastAsia" w:ascii="宋体" w:hAnsi="宋体" w:cs="宋体"/>
          <w:i w:val="0"/>
          <w:iCs w:val="0"/>
          <w:color w:val="auto"/>
          <w:sz w:val="24"/>
          <w:szCs w:val="24"/>
          <w:highlight w:val="none"/>
        </w:rPr>
        <w:t>；</w:t>
      </w:r>
    </w:p>
    <w:p w14:paraId="245A6877">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(6)投标文件格式；</w:t>
      </w:r>
    </w:p>
    <w:p w14:paraId="50F2D0DD">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(7)投标人须知前附表规定的其他材料。</w:t>
      </w:r>
    </w:p>
    <w:p w14:paraId="2613BF12">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根据本章第2.2款和第2.3款对</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所</w:t>
      </w:r>
      <w:r>
        <w:rPr>
          <w:rFonts w:hint="eastAsia" w:ascii="宋体" w:hAnsi="宋体" w:cs="宋体"/>
          <w:i w:val="0"/>
          <w:iCs w:val="0"/>
          <w:color w:val="auto"/>
          <w:sz w:val="24"/>
          <w:szCs w:val="24"/>
          <w:highlight w:val="none"/>
          <w:lang w:eastAsia="zh-CN"/>
        </w:rPr>
        <w:t>做</w:t>
      </w:r>
      <w:r>
        <w:rPr>
          <w:rFonts w:hint="eastAsia" w:ascii="宋体" w:hAnsi="宋体" w:cs="宋体"/>
          <w:i w:val="0"/>
          <w:iCs w:val="0"/>
          <w:color w:val="auto"/>
          <w:sz w:val="24"/>
          <w:szCs w:val="24"/>
          <w:highlight w:val="none"/>
        </w:rPr>
        <w:t>的澄清、修改，构成</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的组成部分。</w:t>
      </w:r>
    </w:p>
    <w:p w14:paraId="31226340">
      <w:pPr>
        <w:spacing w:line="360" w:lineRule="auto"/>
        <w:rPr>
          <w:rFonts w:ascii="宋体" w:hAnsi="宋体" w:cs="宋体"/>
          <w:b/>
          <w:i w:val="0"/>
          <w:iCs w:val="0"/>
          <w:color w:val="auto"/>
          <w:sz w:val="24"/>
          <w:szCs w:val="24"/>
          <w:highlight w:val="none"/>
        </w:rPr>
      </w:pPr>
      <w:bookmarkStart w:id="98" w:name="_Toc23003"/>
      <w:bookmarkEnd w:id="98"/>
      <w:bookmarkStart w:id="99" w:name="_Toc13591"/>
      <w:r>
        <w:rPr>
          <w:rFonts w:hint="eastAsia" w:ascii="宋体" w:hAnsi="宋体" w:cs="宋体"/>
          <w:b/>
          <w:i w:val="0"/>
          <w:iCs w:val="0"/>
          <w:color w:val="auto"/>
          <w:sz w:val="24"/>
          <w:szCs w:val="24"/>
          <w:highlight w:val="none"/>
        </w:rPr>
        <w:t xml:space="preserve">2.2  </w:t>
      </w:r>
      <w:r>
        <w:rPr>
          <w:rFonts w:hint="eastAsia" w:ascii="宋体" w:hAnsi="宋体" w:cs="宋体"/>
          <w:b/>
          <w:i w:val="0"/>
          <w:iCs w:val="0"/>
          <w:color w:val="auto"/>
          <w:sz w:val="24"/>
          <w:szCs w:val="24"/>
          <w:highlight w:val="none"/>
          <w:lang w:eastAsia="zh-CN"/>
        </w:rPr>
        <w:t>招标文件</w:t>
      </w:r>
      <w:r>
        <w:rPr>
          <w:rFonts w:hint="eastAsia" w:ascii="宋体" w:hAnsi="宋体" w:cs="宋体"/>
          <w:b/>
          <w:i w:val="0"/>
          <w:iCs w:val="0"/>
          <w:color w:val="auto"/>
          <w:sz w:val="24"/>
          <w:szCs w:val="24"/>
          <w:highlight w:val="none"/>
        </w:rPr>
        <w:t>的澄清</w:t>
      </w:r>
      <w:bookmarkEnd w:id="99"/>
    </w:p>
    <w:p w14:paraId="5C510E70">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2.2.1投标人应仔细阅读和检查</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的全部内容。如发现缺页或附件不全，应及时向招标人提出，以便补齐。</w:t>
      </w:r>
    </w:p>
    <w:p w14:paraId="657A4404">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2.2.2</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的澄清以投标人须知前附表规定的形式发给所有获取</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的投标人，但不指明澄清问题的来源。澄清发出的时间距本章第4.2.1项规定的投标截止时间不足</w:t>
      </w:r>
      <w:r>
        <w:rPr>
          <w:rFonts w:hint="eastAsia" w:ascii="宋体" w:hAnsi="宋体" w:cs="宋体"/>
          <w:i w:val="0"/>
          <w:iCs w:val="0"/>
          <w:color w:val="auto"/>
          <w:sz w:val="24"/>
          <w:szCs w:val="24"/>
          <w:highlight w:val="none"/>
          <w:lang w:val="en-US" w:eastAsia="zh-CN"/>
        </w:rPr>
        <w:t>3</w:t>
      </w:r>
      <w:r>
        <w:rPr>
          <w:rFonts w:hint="eastAsia" w:ascii="宋体" w:hAnsi="宋体" w:cs="宋体"/>
          <w:i w:val="0"/>
          <w:iCs w:val="0"/>
          <w:color w:val="auto"/>
          <w:sz w:val="24"/>
          <w:szCs w:val="24"/>
          <w:highlight w:val="none"/>
        </w:rPr>
        <w:t>日的，并且澄清内容可能影响投标文件编制的，将相应延长投标截止时间。</w:t>
      </w:r>
    </w:p>
    <w:p w14:paraId="3224838F">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2.2.3投标人在收到澄清通知后，应按投标人须知前附表规定的时间和形式通知招标</w:t>
      </w:r>
      <w:r>
        <w:rPr>
          <w:rFonts w:hint="eastAsia" w:ascii="宋体" w:hAnsi="宋体" w:cs="宋体"/>
          <w:i w:val="0"/>
          <w:iCs w:val="0"/>
          <w:color w:val="auto"/>
          <w:sz w:val="24"/>
          <w:szCs w:val="24"/>
          <w:highlight w:val="none"/>
          <w:lang w:eastAsia="zh-CN"/>
        </w:rPr>
        <w:t>人</w:t>
      </w:r>
      <w:r>
        <w:rPr>
          <w:rFonts w:hint="eastAsia" w:ascii="宋体" w:hAnsi="宋体" w:cs="宋体"/>
          <w:i w:val="0"/>
          <w:iCs w:val="0"/>
          <w:color w:val="auto"/>
          <w:sz w:val="24"/>
          <w:szCs w:val="24"/>
          <w:highlight w:val="none"/>
        </w:rPr>
        <w:t>，确认已收到该通知。</w:t>
      </w:r>
    </w:p>
    <w:p w14:paraId="0DA4F890">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2.2.4除非招标人认为确有必要答复，否则，招标人有权拒绝回复投标人在本章第2.2.1项规定的时间后的任何澄清要求。</w:t>
      </w:r>
    </w:p>
    <w:p w14:paraId="6F792064">
      <w:pPr>
        <w:spacing w:line="360" w:lineRule="auto"/>
        <w:rPr>
          <w:rFonts w:ascii="宋体" w:hAnsi="宋体" w:cs="宋体"/>
          <w:b/>
          <w:i w:val="0"/>
          <w:iCs w:val="0"/>
          <w:color w:val="auto"/>
          <w:sz w:val="24"/>
          <w:szCs w:val="24"/>
          <w:highlight w:val="none"/>
        </w:rPr>
      </w:pPr>
      <w:bookmarkStart w:id="100" w:name="_Toc17621"/>
      <w:bookmarkEnd w:id="100"/>
      <w:bookmarkStart w:id="101" w:name="_Toc8029"/>
      <w:r>
        <w:rPr>
          <w:rFonts w:hint="eastAsia" w:ascii="宋体" w:hAnsi="宋体" w:cs="宋体"/>
          <w:b/>
          <w:i w:val="0"/>
          <w:iCs w:val="0"/>
          <w:color w:val="auto"/>
          <w:sz w:val="24"/>
          <w:szCs w:val="24"/>
          <w:highlight w:val="none"/>
        </w:rPr>
        <w:t xml:space="preserve">2.3 </w:t>
      </w:r>
      <w:r>
        <w:rPr>
          <w:rFonts w:hint="eastAsia" w:ascii="宋体" w:hAnsi="宋体" w:cs="宋体"/>
          <w:b/>
          <w:i w:val="0"/>
          <w:iCs w:val="0"/>
          <w:color w:val="auto"/>
          <w:sz w:val="24"/>
          <w:szCs w:val="24"/>
          <w:highlight w:val="none"/>
          <w:lang w:eastAsia="zh-CN"/>
        </w:rPr>
        <w:t>招标文件</w:t>
      </w:r>
      <w:r>
        <w:rPr>
          <w:rFonts w:hint="eastAsia" w:ascii="宋体" w:hAnsi="宋体" w:cs="宋体"/>
          <w:b/>
          <w:i w:val="0"/>
          <w:iCs w:val="0"/>
          <w:color w:val="auto"/>
          <w:sz w:val="24"/>
          <w:szCs w:val="24"/>
          <w:highlight w:val="none"/>
        </w:rPr>
        <w:t>的修改</w:t>
      </w:r>
      <w:bookmarkEnd w:id="101"/>
    </w:p>
    <w:p w14:paraId="5B70636D">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2.3.1招标人以投标人须知前附表规定的形式修改</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，并通知所有已获取</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的投标人。修改</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的时间距本章4.2.1项规定的投标截止时间不足</w:t>
      </w:r>
      <w:r>
        <w:rPr>
          <w:rFonts w:hint="eastAsia" w:ascii="宋体" w:hAnsi="宋体" w:cs="宋体"/>
          <w:i w:val="0"/>
          <w:iCs w:val="0"/>
          <w:color w:val="auto"/>
          <w:sz w:val="24"/>
          <w:szCs w:val="24"/>
          <w:highlight w:val="none"/>
          <w:lang w:val="en-US" w:eastAsia="zh-CN"/>
        </w:rPr>
        <w:t>3</w:t>
      </w:r>
      <w:r>
        <w:rPr>
          <w:rFonts w:hint="eastAsia" w:ascii="宋体" w:hAnsi="宋体" w:cs="宋体"/>
          <w:i w:val="0"/>
          <w:iCs w:val="0"/>
          <w:color w:val="auto"/>
          <w:sz w:val="24"/>
          <w:szCs w:val="24"/>
          <w:highlight w:val="none"/>
        </w:rPr>
        <w:t>日的，并且修改内容可能影响投标文件编制的，将相应延长投标截止时间。</w:t>
      </w:r>
    </w:p>
    <w:p w14:paraId="13F86598">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2.3.2投标人收到修改内容后，应按投标人须知前附表规定的时间和形式通知招标</w:t>
      </w:r>
      <w:r>
        <w:rPr>
          <w:rFonts w:hint="eastAsia" w:ascii="宋体" w:hAnsi="宋体" w:cs="宋体"/>
          <w:i w:val="0"/>
          <w:iCs w:val="0"/>
          <w:color w:val="auto"/>
          <w:sz w:val="24"/>
          <w:szCs w:val="24"/>
          <w:highlight w:val="none"/>
          <w:lang w:eastAsia="zh-CN"/>
        </w:rPr>
        <w:t>人</w:t>
      </w:r>
      <w:r>
        <w:rPr>
          <w:rFonts w:hint="eastAsia" w:ascii="宋体" w:hAnsi="宋体" w:cs="宋体"/>
          <w:i w:val="0"/>
          <w:iCs w:val="0"/>
          <w:color w:val="auto"/>
          <w:sz w:val="24"/>
          <w:szCs w:val="24"/>
          <w:highlight w:val="none"/>
        </w:rPr>
        <w:t>，确认已收到该修改。</w:t>
      </w:r>
    </w:p>
    <w:p w14:paraId="48B69D89">
      <w:pPr>
        <w:spacing w:line="360" w:lineRule="auto"/>
        <w:rPr>
          <w:rFonts w:ascii="宋体" w:hAnsi="宋体" w:cs="宋体"/>
          <w:b/>
          <w:i w:val="0"/>
          <w:iCs w:val="0"/>
          <w:color w:val="auto"/>
          <w:sz w:val="24"/>
          <w:szCs w:val="24"/>
          <w:highlight w:val="none"/>
        </w:rPr>
      </w:pPr>
      <w:bookmarkStart w:id="102" w:name="_Toc4614573"/>
      <w:r>
        <w:rPr>
          <w:rFonts w:hint="eastAsia" w:ascii="宋体" w:hAnsi="宋体" w:cs="宋体"/>
          <w:b/>
          <w:i w:val="0"/>
          <w:iCs w:val="0"/>
          <w:color w:val="auto"/>
          <w:sz w:val="24"/>
          <w:szCs w:val="24"/>
          <w:highlight w:val="none"/>
        </w:rPr>
        <w:t xml:space="preserve">2.4 </w:t>
      </w:r>
      <w:r>
        <w:rPr>
          <w:rFonts w:hint="eastAsia" w:ascii="宋体" w:hAnsi="宋体" w:cs="宋体"/>
          <w:b/>
          <w:i w:val="0"/>
          <w:iCs w:val="0"/>
          <w:color w:val="auto"/>
          <w:sz w:val="24"/>
          <w:szCs w:val="24"/>
          <w:highlight w:val="none"/>
          <w:lang w:eastAsia="zh-CN"/>
        </w:rPr>
        <w:t>招标文件</w:t>
      </w:r>
      <w:r>
        <w:rPr>
          <w:rFonts w:hint="eastAsia" w:ascii="宋体" w:hAnsi="宋体" w:cs="宋体"/>
          <w:b/>
          <w:i w:val="0"/>
          <w:iCs w:val="0"/>
          <w:color w:val="auto"/>
          <w:sz w:val="24"/>
          <w:szCs w:val="24"/>
          <w:highlight w:val="none"/>
        </w:rPr>
        <w:t>的异议</w:t>
      </w:r>
      <w:bookmarkEnd w:id="102"/>
    </w:p>
    <w:p w14:paraId="75887585">
      <w:pPr>
        <w:pStyle w:val="7"/>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投标人或者其他利害关系人对</w:t>
      </w:r>
      <w:r>
        <w:rPr>
          <w:rFonts w:hint="eastAsia" w:ascii="宋体" w:hAnsi="宋体" w:cs="宋体"/>
          <w:i w:val="0"/>
          <w:iCs w:val="0"/>
          <w:color w:val="auto"/>
          <w:sz w:val="24"/>
          <w:highlight w:val="none"/>
          <w:lang w:eastAsia="zh-CN"/>
        </w:rPr>
        <w:t>招标文件</w:t>
      </w:r>
      <w:r>
        <w:rPr>
          <w:rFonts w:hint="eastAsia" w:ascii="宋体" w:hAnsi="宋体" w:cs="宋体"/>
          <w:i w:val="0"/>
          <w:iCs w:val="0"/>
          <w:color w:val="auto"/>
          <w:sz w:val="24"/>
          <w:highlight w:val="none"/>
        </w:rPr>
        <w:t>有异议的，应当在投标截止时间</w:t>
      </w:r>
      <w:r>
        <w:rPr>
          <w:rFonts w:hint="eastAsia" w:ascii="宋体" w:hAnsi="宋体" w:cs="宋体"/>
          <w:i w:val="0"/>
          <w:iCs w:val="0"/>
          <w:color w:val="auto"/>
          <w:sz w:val="24"/>
          <w:highlight w:val="none"/>
          <w:lang w:val="en-US" w:eastAsia="zh-CN"/>
        </w:rPr>
        <w:t>3</w:t>
      </w:r>
      <w:r>
        <w:rPr>
          <w:rFonts w:hint="eastAsia" w:ascii="宋体" w:hAnsi="宋体" w:cs="宋体"/>
          <w:i w:val="0"/>
          <w:iCs w:val="0"/>
          <w:color w:val="auto"/>
          <w:sz w:val="24"/>
          <w:highlight w:val="none"/>
        </w:rPr>
        <w:t>日前以书面形式提出。招标人将在收到异议之日起3日内作出答复；作出答复前，将暂停招标投标活动。</w:t>
      </w:r>
    </w:p>
    <w:p w14:paraId="7C210897">
      <w:pPr>
        <w:bidi w:val="0"/>
        <w:rPr>
          <w:rFonts w:hint="eastAsia" w:ascii="宋体" w:hAnsi="宋体" w:eastAsia="宋体" w:cs="宋体"/>
          <w:b/>
          <w:bCs/>
          <w:sz w:val="28"/>
          <w:szCs w:val="28"/>
        </w:rPr>
      </w:pPr>
      <w:bookmarkStart w:id="103" w:name="_Toc16663"/>
      <w:bookmarkEnd w:id="103"/>
      <w:bookmarkStart w:id="104" w:name="_Toc29741"/>
      <w:bookmarkEnd w:id="104"/>
      <w:bookmarkStart w:id="105" w:name="_Toc24916"/>
      <w:bookmarkEnd w:id="105"/>
      <w:bookmarkStart w:id="106" w:name="_Toc24768"/>
      <w:bookmarkStart w:id="107" w:name="_Toc14545"/>
      <w:bookmarkStart w:id="108" w:name="_Toc18056"/>
      <w:r>
        <w:rPr>
          <w:rFonts w:hint="eastAsia" w:ascii="宋体" w:hAnsi="宋体" w:eastAsia="宋体" w:cs="宋体"/>
          <w:b/>
          <w:bCs/>
          <w:sz w:val="28"/>
          <w:szCs w:val="28"/>
        </w:rPr>
        <w:t>3.投标文件</w:t>
      </w:r>
      <w:bookmarkEnd w:id="106"/>
      <w:bookmarkEnd w:id="107"/>
      <w:bookmarkEnd w:id="108"/>
    </w:p>
    <w:p w14:paraId="6903B26A">
      <w:pPr>
        <w:spacing w:line="360" w:lineRule="auto"/>
        <w:rPr>
          <w:rFonts w:ascii="宋体" w:hAnsi="宋体" w:cs="宋体"/>
          <w:b/>
          <w:i w:val="0"/>
          <w:iCs w:val="0"/>
          <w:color w:val="auto"/>
          <w:sz w:val="24"/>
          <w:szCs w:val="24"/>
          <w:highlight w:val="none"/>
        </w:rPr>
      </w:pPr>
      <w:bookmarkStart w:id="109" w:name="_Toc2432"/>
      <w:bookmarkEnd w:id="109"/>
      <w:bookmarkStart w:id="110" w:name="_Toc4962"/>
      <w:r>
        <w:rPr>
          <w:rFonts w:hint="eastAsia" w:ascii="宋体" w:hAnsi="宋体" w:cs="宋体"/>
          <w:b/>
          <w:i w:val="0"/>
          <w:iCs w:val="0"/>
          <w:color w:val="auto"/>
          <w:sz w:val="24"/>
          <w:szCs w:val="24"/>
          <w:highlight w:val="none"/>
        </w:rPr>
        <w:t>3.1 投标文件的组成</w:t>
      </w:r>
      <w:bookmarkEnd w:id="110"/>
    </w:p>
    <w:p w14:paraId="5383E861">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3.1.1投标文件应包括下列内容：</w:t>
      </w:r>
    </w:p>
    <w:p w14:paraId="6BD49273">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3.1.1.1详见第六章“投标文件格式”中的内容。</w:t>
      </w:r>
    </w:p>
    <w:p w14:paraId="61635198">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3.1.1.2投标人须知前附表规定的其他资料。</w:t>
      </w:r>
    </w:p>
    <w:p w14:paraId="3B14D1FA">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3.1.1.3投标人在评标过程中作出的符合法律法规和</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规定的澄清确认，构成投标文件的组成部分。</w:t>
      </w:r>
    </w:p>
    <w:p w14:paraId="2FB755AC">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3.1.2投标人须知前附表未要求提交投标保证金的，投标文件不包括第六章“投标文件格式”商务技术部分中所指的投标保证金。</w:t>
      </w:r>
    </w:p>
    <w:p w14:paraId="361C5B51">
      <w:pPr>
        <w:spacing w:line="360" w:lineRule="auto"/>
        <w:rPr>
          <w:rFonts w:ascii="宋体" w:hAnsi="宋体" w:cs="宋体"/>
          <w:b/>
          <w:i w:val="0"/>
          <w:iCs w:val="0"/>
          <w:color w:val="auto"/>
          <w:sz w:val="24"/>
          <w:szCs w:val="24"/>
          <w:highlight w:val="none"/>
        </w:rPr>
      </w:pPr>
      <w:bookmarkStart w:id="111" w:name="_Toc3252"/>
      <w:bookmarkEnd w:id="111"/>
      <w:bookmarkStart w:id="112" w:name="_Toc21369"/>
      <w:r>
        <w:rPr>
          <w:rFonts w:hint="eastAsia" w:ascii="宋体" w:hAnsi="宋体" w:cs="宋体"/>
          <w:b/>
          <w:i w:val="0"/>
          <w:iCs w:val="0"/>
          <w:color w:val="auto"/>
          <w:sz w:val="24"/>
          <w:szCs w:val="24"/>
          <w:highlight w:val="none"/>
        </w:rPr>
        <w:t>3.2 投标报价</w:t>
      </w:r>
      <w:bookmarkEnd w:id="112"/>
    </w:p>
    <w:p w14:paraId="3C17EE07">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3.2.1投标人应按第六章“投标文件格式”的要求在投标函中进行报价。</w:t>
      </w:r>
    </w:p>
    <w:p w14:paraId="4AC331DC">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3.2.2投标人应充分了解该项目的总体情况以及影响投标报价的其他要素。</w:t>
      </w:r>
    </w:p>
    <w:p w14:paraId="28FF2CB0">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3.2.3投标人的投标报价不得超过预算金额(</w:t>
      </w:r>
      <w:r>
        <w:rPr>
          <w:rFonts w:hint="eastAsia" w:ascii="宋体" w:hAnsi="宋体" w:cs="宋体"/>
          <w:i w:val="0"/>
          <w:iCs w:val="0"/>
          <w:color w:val="auto"/>
          <w:sz w:val="24"/>
          <w:szCs w:val="24"/>
          <w:highlight w:val="none"/>
          <w:lang w:eastAsia="zh-CN"/>
        </w:rPr>
        <w:t>最高限价</w:t>
      </w:r>
      <w:r>
        <w:rPr>
          <w:rFonts w:hint="eastAsia" w:ascii="宋体" w:hAnsi="宋体" w:cs="宋体"/>
          <w:i w:val="0"/>
          <w:iCs w:val="0"/>
          <w:color w:val="auto"/>
          <w:sz w:val="24"/>
          <w:szCs w:val="24"/>
          <w:highlight w:val="none"/>
        </w:rPr>
        <w:t>)，预算金额(</w:t>
      </w:r>
      <w:r>
        <w:rPr>
          <w:rFonts w:hint="eastAsia" w:ascii="宋体" w:hAnsi="宋体" w:cs="宋体"/>
          <w:i w:val="0"/>
          <w:iCs w:val="0"/>
          <w:color w:val="auto"/>
          <w:sz w:val="24"/>
          <w:szCs w:val="24"/>
          <w:highlight w:val="none"/>
          <w:lang w:eastAsia="zh-CN"/>
        </w:rPr>
        <w:t>最高限价</w:t>
      </w:r>
      <w:r>
        <w:rPr>
          <w:rFonts w:hint="eastAsia" w:ascii="宋体" w:hAnsi="宋体" w:cs="宋体"/>
          <w:i w:val="0"/>
          <w:iCs w:val="0"/>
          <w:color w:val="auto"/>
          <w:sz w:val="24"/>
          <w:szCs w:val="24"/>
          <w:highlight w:val="none"/>
        </w:rPr>
        <w:t>)在投标人须知前附表中载明。</w:t>
      </w:r>
    </w:p>
    <w:p w14:paraId="3B470C3A">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3.2.4投标报价的其他要求见投标人须知前附表。</w:t>
      </w:r>
    </w:p>
    <w:p w14:paraId="0A42F314">
      <w:pPr>
        <w:spacing w:line="360" w:lineRule="auto"/>
        <w:rPr>
          <w:rFonts w:ascii="宋体" w:hAnsi="宋体" w:cs="宋体"/>
          <w:b/>
          <w:i w:val="0"/>
          <w:iCs w:val="0"/>
          <w:color w:val="auto"/>
          <w:sz w:val="24"/>
          <w:szCs w:val="24"/>
          <w:highlight w:val="none"/>
        </w:rPr>
      </w:pPr>
      <w:bookmarkStart w:id="113" w:name="_Toc12995"/>
      <w:bookmarkEnd w:id="113"/>
      <w:bookmarkStart w:id="114" w:name="_Toc14190"/>
      <w:r>
        <w:rPr>
          <w:rFonts w:hint="eastAsia" w:ascii="宋体" w:hAnsi="宋体" w:cs="宋体"/>
          <w:b/>
          <w:i w:val="0"/>
          <w:iCs w:val="0"/>
          <w:color w:val="auto"/>
          <w:sz w:val="24"/>
          <w:szCs w:val="24"/>
          <w:highlight w:val="none"/>
        </w:rPr>
        <w:t>3.3 投标有效期</w:t>
      </w:r>
      <w:bookmarkEnd w:id="114"/>
    </w:p>
    <w:p w14:paraId="1F6F0233">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3.3.1投标有效期见投标人须知前附表。</w:t>
      </w:r>
    </w:p>
    <w:p w14:paraId="5F86C3F3">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3.3.2在投标有效期内，投标人撤销或修改其投标文件的，应承担</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和法律规定的责任。</w:t>
      </w:r>
    </w:p>
    <w:p w14:paraId="14EB3A9C">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3.3.3出现特殊情况需要延长投标有效期的，招标人以书面形式通知所有投标人延长投标有效期。投标人应予以书面答复，同意延长的，应相应延长其投标保证金的有效期，但不得要求或被允许修改其投标文件；投标人拒绝延长的，其投标失效，但投标人有权收回其投标保证金。</w:t>
      </w:r>
    </w:p>
    <w:p w14:paraId="5894745D">
      <w:pPr>
        <w:spacing w:line="360" w:lineRule="auto"/>
        <w:rPr>
          <w:rFonts w:ascii="宋体" w:hAnsi="宋体" w:cs="宋体"/>
          <w:b/>
          <w:i w:val="0"/>
          <w:iCs w:val="0"/>
          <w:color w:val="auto"/>
          <w:sz w:val="24"/>
          <w:szCs w:val="24"/>
          <w:highlight w:val="none"/>
        </w:rPr>
      </w:pPr>
      <w:bookmarkStart w:id="115" w:name="_Toc1543"/>
      <w:bookmarkEnd w:id="115"/>
      <w:bookmarkStart w:id="116" w:name="_Toc23125"/>
      <w:r>
        <w:rPr>
          <w:rFonts w:hint="eastAsia" w:ascii="宋体" w:hAnsi="宋体" w:cs="宋体"/>
          <w:b/>
          <w:i w:val="0"/>
          <w:iCs w:val="0"/>
          <w:color w:val="auto"/>
          <w:sz w:val="24"/>
          <w:szCs w:val="24"/>
          <w:highlight w:val="none"/>
        </w:rPr>
        <w:t>3.4 投标保证金</w:t>
      </w:r>
      <w:bookmarkEnd w:id="116"/>
    </w:p>
    <w:p w14:paraId="58A6554E">
      <w:pPr>
        <w:widowControl w:val="0"/>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3.4.1投标人在递交投标文件的同时，应按投标人须知前附表规定的金额、形式递交投标保证金，并作为其投标文件的组成部分。投标保证金应当从其基本账户转出并在投标文件中附上开户许可证或基本存款账户信息。联合体投标的，其投标保证金可以由牵头人递交。</w:t>
      </w:r>
    </w:p>
    <w:p w14:paraId="6A14B7FA">
      <w:pPr>
        <w:spacing w:line="360" w:lineRule="auto"/>
        <w:ind w:left="547" w:leftChars="228"/>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3.4.2投标人不按本章第3.4.1项要求提交投标保证金的，其投标将被视为无效投标。</w:t>
      </w:r>
    </w:p>
    <w:p w14:paraId="18698AA8">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3.4.3招标人或者招标代理机构应当自中标通知书发出之日起5个工作日内退还未中标人的投标保证金，自采购合同签订之日起5个工作日内退还中标人的投标保证金。</w:t>
      </w:r>
    </w:p>
    <w:p w14:paraId="61301658">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3.4.4有下列情形之一的，投标保证金将不予退还：</w:t>
      </w:r>
    </w:p>
    <w:p w14:paraId="17D45448">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(1)投标人在投标有效期内撤销投标文件；</w:t>
      </w:r>
    </w:p>
    <w:p w14:paraId="6D80806F">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(2)中标人在收到中标通知书后，无正当理由不与招标人订立合同，在签订合同时向招标人提出附加条件，或者不按照</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要求提交履约保证金；</w:t>
      </w:r>
    </w:p>
    <w:p w14:paraId="7AD4B35D">
      <w:pPr>
        <w:spacing w:line="360" w:lineRule="auto"/>
        <w:ind w:left="547" w:leftChars="228"/>
        <w:rPr>
          <w:rFonts w:ascii="宋体" w:hAnsi="宋体" w:cs="宋体"/>
          <w:i w:val="0"/>
          <w:iCs w:val="0"/>
          <w:color w:val="auto"/>
          <w:sz w:val="24"/>
          <w:szCs w:val="24"/>
          <w:highlight w:val="none"/>
        </w:rPr>
      </w:pPr>
      <w:bookmarkStart w:id="117" w:name="_Toc32408"/>
      <w:bookmarkEnd w:id="117"/>
      <w:bookmarkStart w:id="118" w:name="_Toc4859"/>
      <w:r>
        <w:rPr>
          <w:rFonts w:hint="eastAsia" w:ascii="宋体" w:hAnsi="宋体" w:cs="宋体"/>
          <w:i w:val="0"/>
          <w:iCs w:val="0"/>
          <w:color w:val="auto"/>
          <w:sz w:val="24"/>
          <w:szCs w:val="24"/>
          <w:highlight w:val="none"/>
        </w:rPr>
        <w:t>(3)其他法律法规要求不予退还投标保证金的情形。</w:t>
      </w:r>
    </w:p>
    <w:p w14:paraId="1E8FFA4C">
      <w:pPr>
        <w:spacing w:line="360" w:lineRule="auto"/>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3.5投标文件的编制</w:t>
      </w:r>
      <w:bookmarkEnd w:id="118"/>
    </w:p>
    <w:p w14:paraId="3D6272C5">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3.5.1投标文件应按第六章“投标文件格式”进行编写。</w:t>
      </w:r>
    </w:p>
    <w:p w14:paraId="36ABA6F0">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3.5.</w:t>
      </w:r>
      <w:r>
        <w:rPr>
          <w:rFonts w:hint="eastAsia" w:ascii="宋体" w:hAnsi="宋体" w:cs="宋体"/>
          <w:i w:val="0"/>
          <w:iCs w:val="0"/>
          <w:color w:val="auto"/>
          <w:sz w:val="24"/>
          <w:szCs w:val="24"/>
          <w:highlight w:val="none"/>
          <w:lang w:val="en-US" w:eastAsia="zh-CN"/>
        </w:rPr>
        <w:t>2</w:t>
      </w:r>
      <w:r>
        <w:rPr>
          <w:rFonts w:hint="eastAsia" w:ascii="宋体" w:hAnsi="宋体" w:cs="宋体"/>
          <w:i w:val="0"/>
          <w:iCs w:val="0"/>
          <w:color w:val="auto"/>
          <w:sz w:val="24"/>
          <w:szCs w:val="24"/>
          <w:highlight w:val="none"/>
        </w:rPr>
        <w:t>(1)投标文件应用不褪色的材料书写或打印。由投标人的法定代表人(单位负责人)签字或盖章的，应附法定代表人(单位负责人)身份证明书，由代理人签字或盖章的，应附授权委托书，身份证明书或授权委托书应符合第六章“投标文件格式”的要求。投标文件应尽量避免涂改、行间插字或删除。如果出现上述情况，改动之处应由投标人的法定代表人(单位负责人)或其授权的代理人签字或加盖单位公章。</w:t>
      </w:r>
    </w:p>
    <w:p w14:paraId="20F9D6AE">
      <w:pPr>
        <w:numPr>
          <w:ilvl w:val="-1"/>
          <w:numId w:val="0"/>
        </w:numPr>
        <w:spacing w:line="360" w:lineRule="auto"/>
        <w:ind w:firstLine="480" w:firstLineChars="200"/>
        <w:rPr>
          <w:rFonts w:hint="eastAsia" w:ascii="宋体" w:hAnsi="宋体" w:cs="宋体"/>
          <w:i w:val="0"/>
          <w:iCs w:val="0"/>
          <w:color w:val="auto"/>
          <w:sz w:val="24"/>
          <w:szCs w:val="24"/>
          <w:highlight w:val="none"/>
        </w:rPr>
      </w:pPr>
      <w:r>
        <w:rPr>
          <w:rFonts w:hint="eastAsia" w:ascii="宋体" w:hAnsi="宋体" w:cs="宋体"/>
          <w:i w:val="0"/>
          <w:iCs w:val="0"/>
          <w:color w:val="auto"/>
          <w:sz w:val="24"/>
          <w:szCs w:val="24"/>
          <w:highlight w:val="none"/>
          <w:lang w:eastAsia="zh-CN"/>
        </w:rPr>
        <w:t>（</w:t>
      </w:r>
      <w:r>
        <w:rPr>
          <w:rFonts w:hint="eastAsia" w:ascii="宋体" w:hAnsi="宋体" w:cs="宋体"/>
          <w:i w:val="0"/>
          <w:iCs w:val="0"/>
          <w:color w:val="auto"/>
          <w:sz w:val="24"/>
          <w:szCs w:val="24"/>
          <w:highlight w:val="none"/>
          <w:lang w:val="en-US" w:eastAsia="zh-CN"/>
        </w:rPr>
        <w:t>2</w:t>
      </w:r>
      <w:r>
        <w:rPr>
          <w:rFonts w:hint="eastAsia" w:ascii="宋体" w:hAnsi="宋体" w:cs="宋体"/>
          <w:i w:val="0"/>
          <w:iCs w:val="0"/>
          <w:color w:val="auto"/>
          <w:sz w:val="24"/>
          <w:szCs w:val="24"/>
          <w:highlight w:val="none"/>
          <w:lang w:eastAsia="zh-CN"/>
        </w:rPr>
        <w:t>）</w:t>
      </w:r>
      <w:r>
        <w:rPr>
          <w:rFonts w:hint="eastAsia" w:ascii="宋体" w:hAnsi="宋体" w:cs="宋体"/>
          <w:i w:val="0"/>
          <w:iCs w:val="0"/>
          <w:color w:val="auto"/>
          <w:sz w:val="24"/>
          <w:szCs w:val="24"/>
          <w:highlight w:val="none"/>
        </w:rPr>
        <w:t>投标文件份数及其他要求见投标人须知前附表。正本和副本的封面上应清楚地标记“正本”或“副本”的字样。投标人应根据投标人须知前附表要求提供电子版文件。当正本与副本不一致时，以正本为准；当电子版文件和纸质版文件不一致时，以纸质版文件为准。</w:t>
      </w:r>
    </w:p>
    <w:p w14:paraId="48942906">
      <w:pPr>
        <w:spacing w:line="360" w:lineRule="auto"/>
        <w:ind w:firstLine="480" w:firstLineChars="200"/>
        <w:rPr>
          <w:rFonts w:hint="eastAsia" w:ascii="宋体" w:hAnsi="宋体" w:eastAsia="宋体"/>
          <w:i w:val="0"/>
          <w:iCs w:val="0"/>
          <w:color w:val="auto"/>
          <w:sz w:val="24"/>
          <w:szCs w:val="24"/>
          <w:highlight w:val="none"/>
          <w:lang w:val="en-US" w:eastAsia="zh-CN"/>
        </w:rPr>
      </w:pPr>
      <w:r>
        <w:rPr>
          <w:rFonts w:hint="eastAsia" w:ascii="宋体" w:hAnsi="宋体"/>
          <w:i w:val="0"/>
          <w:iCs w:val="0"/>
          <w:color w:val="auto"/>
          <w:sz w:val="24"/>
          <w:szCs w:val="24"/>
          <w:highlight w:val="none"/>
        </w:rPr>
        <w:t>(</w:t>
      </w:r>
      <w:r>
        <w:rPr>
          <w:rFonts w:hint="eastAsia" w:ascii="宋体" w:hAnsi="宋体"/>
          <w:i w:val="0"/>
          <w:iCs w:val="0"/>
          <w:color w:val="auto"/>
          <w:sz w:val="24"/>
          <w:szCs w:val="24"/>
          <w:highlight w:val="none"/>
          <w:lang w:val="en-US" w:eastAsia="zh-CN"/>
        </w:rPr>
        <w:t>3</w:t>
      </w:r>
      <w:r>
        <w:rPr>
          <w:rFonts w:hint="eastAsia" w:ascii="宋体" w:hAnsi="宋体"/>
          <w:i w:val="0"/>
          <w:iCs w:val="0"/>
          <w:color w:val="auto"/>
          <w:sz w:val="24"/>
          <w:szCs w:val="24"/>
          <w:highlight w:val="none"/>
        </w:rPr>
        <w:t>)</w:t>
      </w:r>
      <w:r>
        <w:rPr>
          <w:rFonts w:hint="eastAsia" w:ascii="宋体" w:hAnsi="宋体" w:eastAsia="宋体" w:cs="宋体"/>
          <w:i w:val="0"/>
          <w:iCs w:val="0"/>
          <w:color w:val="auto"/>
          <w:sz w:val="24"/>
          <w:szCs w:val="24"/>
          <w:highlight w:val="none"/>
        </w:rPr>
        <w:t>投标文件的正本与副本应分别装订</w:t>
      </w:r>
      <w:r>
        <w:rPr>
          <w:rFonts w:hint="eastAsia" w:ascii="宋体" w:hAnsi="宋体" w:eastAsia="宋体" w:cs="宋体"/>
          <w:i w:val="0"/>
          <w:iCs w:val="0"/>
          <w:color w:val="auto"/>
          <w:sz w:val="24"/>
          <w:szCs w:val="24"/>
          <w:highlight w:val="none"/>
          <w:lang w:val="en-US" w:eastAsia="zh-CN"/>
        </w:rPr>
        <w:t>（不允许活页装订）</w:t>
      </w:r>
      <w:r>
        <w:rPr>
          <w:rFonts w:hint="eastAsia" w:ascii="宋体" w:hAnsi="宋体" w:eastAsia="宋体" w:cs="宋体"/>
          <w:i w:val="0"/>
          <w:iCs w:val="0"/>
          <w:color w:val="auto"/>
          <w:sz w:val="24"/>
          <w:szCs w:val="24"/>
          <w:highlight w:val="none"/>
        </w:rPr>
        <w:t>，并编制目录</w:t>
      </w:r>
      <w:r>
        <w:rPr>
          <w:rFonts w:hint="eastAsia" w:ascii="宋体" w:hAnsi="宋体" w:eastAsia="宋体" w:cs="宋体"/>
          <w:i w:val="0"/>
          <w:iCs w:val="0"/>
          <w:color w:val="auto"/>
          <w:sz w:val="24"/>
          <w:szCs w:val="24"/>
          <w:highlight w:val="none"/>
          <w:lang w:eastAsia="zh-CN"/>
        </w:rPr>
        <w:t>。</w:t>
      </w:r>
    </w:p>
    <w:p w14:paraId="7931F781">
      <w:pPr>
        <w:bidi w:val="0"/>
        <w:rPr>
          <w:rFonts w:hint="eastAsia" w:ascii="宋体" w:hAnsi="宋体" w:eastAsia="宋体" w:cs="宋体"/>
          <w:b/>
          <w:bCs/>
          <w:sz w:val="28"/>
          <w:szCs w:val="28"/>
        </w:rPr>
      </w:pPr>
      <w:bookmarkStart w:id="119" w:name="_Toc1490"/>
      <w:bookmarkEnd w:id="119"/>
      <w:bookmarkStart w:id="120" w:name="_Toc13757"/>
      <w:bookmarkEnd w:id="120"/>
      <w:bookmarkStart w:id="121" w:name="_Toc15261"/>
      <w:bookmarkStart w:id="122" w:name="_Toc5134"/>
      <w:bookmarkStart w:id="123" w:name="_Toc7149"/>
      <w:r>
        <w:rPr>
          <w:rFonts w:hint="eastAsia" w:ascii="宋体" w:hAnsi="宋体" w:eastAsia="宋体" w:cs="宋体"/>
          <w:b/>
          <w:bCs/>
          <w:sz w:val="28"/>
          <w:szCs w:val="28"/>
        </w:rPr>
        <w:t>4.投标</w:t>
      </w:r>
      <w:bookmarkEnd w:id="121"/>
      <w:bookmarkEnd w:id="122"/>
      <w:bookmarkEnd w:id="123"/>
    </w:p>
    <w:p w14:paraId="7F1691C9">
      <w:pPr>
        <w:spacing w:line="360" w:lineRule="auto"/>
        <w:rPr>
          <w:rFonts w:ascii="宋体" w:hAnsi="宋体" w:cs="宋体"/>
          <w:b/>
          <w:i w:val="0"/>
          <w:iCs w:val="0"/>
          <w:color w:val="auto"/>
          <w:sz w:val="24"/>
          <w:szCs w:val="24"/>
          <w:highlight w:val="none"/>
        </w:rPr>
      </w:pPr>
      <w:bookmarkStart w:id="124" w:name="_Toc1523"/>
      <w:bookmarkEnd w:id="124"/>
      <w:bookmarkStart w:id="125" w:name="_Toc25497"/>
      <w:r>
        <w:rPr>
          <w:rFonts w:hint="eastAsia" w:ascii="宋体" w:hAnsi="宋体" w:cs="宋体"/>
          <w:b/>
          <w:i w:val="0"/>
          <w:iCs w:val="0"/>
          <w:color w:val="auto"/>
          <w:sz w:val="24"/>
          <w:szCs w:val="24"/>
          <w:highlight w:val="none"/>
        </w:rPr>
        <w:t>4.1 投标文件的密封和标记</w:t>
      </w:r>
      <w:bookmarkEnd w:id="125"/>
    </w:p>
    <w:p w14:paraId="7029EB88">
      <w:pPr>
        <w:spacing w:line="360" w:lineRule="auto"/>
        <w:ind w:firstLine="480" w:firstLineChars="200"/>
        <w:rPr>
          <w:rFonts w:ascii="宋体" w:hAnsi="宋体" w:cs="宋体"/>
          <w:i w:val="0"/>
          <w:iCs w:val="0"/>
          <w:color w:val="auto"/>
          <w:sz w:val="24"/>
          <w:szCs w:val="24"/>
          <w:highlight w:val="none"/>
        </w:rPr>
      </w:pPr>
      <w:bookmarkStart w:id="126" w:name="_Toc27596"/>
      <w:bookmarkEnd w:id="126"/>
      <w:r>
        <w:rPr>
          <w:rFonts w:hint="eastAsia" w:ascii="宋体" w:hAnsi="宋体" w:cs="宋体"/>
          <w:i w:val="0"/>
          <w:iCs w:val="0"/>
          <w:color w:val="auto"/>
          <w:sz w:val="24"/>
          <w:szCs w:val="24"/>
          <w:highlight w:val="none"/>
        </w:rPr>
        <w:t>4.1.1投标文件</w:t>
      </w:r>
      <w:r>
        <w:rPr>
          <w:rFonts w:hint="eastAsia" w:ascii="宋体" w:hAnsi="宋体" w:cs="宋体"/>
          <w:i w:val="0"/>
          <w:iCs w:val="0"/>
          <w:color w:val="auto"/>
          <w:sz w:val="24"/>
          <w:highlight w:val="none"/>
        </w:rPr>
        <w:t>密封要求</w:t>
      </w:r>
      <w:r>
        <w:rPr>
          <w:rFonts w:hint="eastAsia" w:ascii="宋体" w:hAnsi="宋体" w:cs="宋体"/>
          <w:i w:val="0"/>
          <w:iCs w:val="0"/>
          <w:color w:val="auto"/>
          <w:sz w:val="24"/>
          <w:szCs w:val="24"/>
          <w:highlight w:val="none"/>
        </w:rPr>
        <w:t>和封套上应载明的信息见投标人须知前附表。</w:t>
      </w:r>
    </w:p>
    <w:p w14:paraId="5D81F262">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4.1.2未按本章第4.1.1项要求密封和标记的投标文件，招标人将予以拒收。</w:t>
      </w:r>
    </w:p>
    <w:p w14:paraId="0505C0AC">
      <w:pPr>
        <w:spacing w:line="360" w:lineRule="auto"/>
        <w:rPr>
          <w:rFonts w:ascii="宋体" w:hAnsi="宋体" w:cs="宋体"/>
          <w:b/>
          <w:i w:val="0"/>
          <w:iCs w:val="0"/>
          <w:color w:val="auto"/>
          <w:sz w:val="24"/>
          <w:szCs w:val="24"/>
          <w:highlight w:val="none"/>
        </w:rPr>
      </w:pPr>
      <w:bookmarkStart w:id="127" w:name="_Toc20611"/>
      <w:bookmarkEnd w:id="127"/>
      <w:bookmarkStart w:id="128" w:name="_Toc9134"/>
      <w:r>
        <w:rPr>
          <w:rFonts w:hint="eastAsia" w:ascii="宋体" w:hAnsi="宋体" w:cs="宋体"/>
          <w:b/>
          <w:i w:val="0"/>
          <w:iCs w:val="0"/>
          <w:color w:val="auto"/>
          <w:sz w:val="24"/>
          <w:szCs w:val="24"/>
          <w:highlight w:val="none"/>
        </w:rPr>
        <w:t>4.2 投标文件的递交</w:t>
      </w:r>
      <w:bookmarkEnd w:id="128"/>
    </w:p>
    <w:p w14:paraId="459F92BA">
      <w:pPr>
        <w:spacing w:line="360" w:lineRule="auto"/>
        <w:ind w:firstLine="480" w:firstLineChars="200"/>
        <w:rPr>
          <w:rFonts w:ascii="宋体" w:hAnsi="宋体" w:cs="宋体"/>
          <w:i w:val="0"/>
          <w:iCs w:val="0"/>
          <w:color w:val="auto"/>
          <w:sz w:val="24"/>
          <w:szCs w:val="24"/>
          <w:highlight w:val="none"/>
        </w:rPr>
      </w:pPr>
      <w:bookmarkStart w:id="129" w:name="_Toc21133"/>
      <w:bookmarkEnd w:id="129"/>
      <w:r>
        <w:rPr>
          <w:rFonts w:hint="eastAsia" w:ascii="宋体" w:hAnsi="宋体" w:cs="宋体"/>
          <w:i w:val="0"/>
          <w:iCs w:val="0"/>
          <w:color w:val="auto"/>
          <w:sz w:val="24"/>
          <w:szCs w:val="24"/>
          <w:highlight w:val="none"/>
        </w:rPr>
        <w:t>4.2.1投标人应在投标人须知前附表规定的投标截止时间前递交投标文件。</w:t>
      </w:r>
    </w:p>
    <w:p w14:paraId="455F58FD">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4.2.2投标文件递交时间和地点：见投标人须知前附表。</w:t>
      </w:r>
    </w:p>
    <w:p w14:paraId="5F962BC6">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4.2.3除投标人须知前附表另有规定外，投标人所递交的投标文件不予退还。</w:t>
      </w:r>
    </w:p>
    <w:p w14:paraId="17C0AF4C">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4.2.4逾期送达的、未送达指定地点的或者不按照</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要求密封的投标文件，招标人、招标代理机构将予以拒收。</w:t>
      </w:r>
    </w:p>
    <w:p w14:paraId="610993E7">
      <w:pPr>
        <w:spacing w:line="360" w:lineRule="auto"/>
        <w:rPr>
          <w:rFonts w:ascii="宋体" w:hAnsi="宋体" w:cs="宋体"/>
          <w:b/>
          <w:i w:val="0"/>
          <w:iCs w:val="0"/>
          <w:color w:val="auto"/>
          <w:sz w:val="24"/>
          <w:szCs w:val="24"/>
          <w:highlight w:val="none"/>
        </w:rPr>
      </w:pPr>
      <w:bookmarkStart w:id="130" w:name="_Toc8975"/>
      <w:bookmarkEnd w:id="130"/>
      <w:bookmarkStart w:id="131" w:name="_Toc5071"/>
      <w:r>
        <w:rPr>
          <w:rFonts w:hint="eastAsia" w:ascii="宋体" w:hAnsi="宋体" w:cs="宋体"/>
          <w:b/>
          <w:i w:val="0"/>
          <w:iCs w:val="0"/>
          <w:color w:val="auto"/>
          <w:sz w:val="24"/>
          <w:szCs w:val="24"/>
          <w:highlight w:val="none"/>
        </w:rPr>
        <w:t>4.3 投标文件的修改与撤回</w:t>
      </w:r>
      <w:bookmarkEnd w:id="131"/>
    </w:p>
    <w:p w14:paraId="4FCE8D96">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4.3.1在本章第4.2.1项规定的投标截止时间前，投标人可以修改或撤回已递交的投标文件，但应以书面形式通知招标人。</w:t>
      </w:r>
    </w:p>
    <w:p w14:paraId="1F7F8C0B">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4.3.2投标人修改或撤回已递交投标文件的书面通知应按照本章第3.5.</w:t>
      </w:r>
      <w:r>
        <w:rPr>
          <w:rFonts w:hint="eastAsia" w:ascii="宋体" w:hAnsi="宋体" w:cs="宋体"/>
          <w:i w:val="0"/>
          <w:iCs w:val="0"/>
          <w:color w:val="auto"/>
          <w:sz w:val="24"/>
          <w:szCs w:val="24"/>
          <w:highlight w:val="none"/>
          <w:lang w:val="en-US" w:eastAsia="zh-CN"/>
        </w:rPr>
        <w:t>2</w:t>
      </w:r>
      <w:r>
        <w:rPr>
          <w:rFonts w:hint="eastAsia" w:ascii="宋体" w:hAnsi="宋体" w:cs="宋体"/>
          <w:i w:val="0"/>
          <w:iCs w:val="0"/>
          <w:color w:val="auto"/>
          <w:sz w:val="24"/>
          <w:szCs w:val="24"/>
          <w:highlight w:val="none"/>
        </w:rPr>
        <w:t>项的要求签字或盖章。招标人收到书面通知后，向投标人出具签收回执。</w:t>
      </w:r>
    </w:p>
    <w:p w14:paraId="4F865BD2">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4.3.3投标人在投标截止时间前撤回已提交的投标文件的，招标人或者招标代理机构应当自收到投标人书面撤回通知之日起5个工作日内，退还已收取的投标保证金，但因投标人自身原因导致无法及时退还的除外。</w:t>
      </w:r>
    </w:p>
    <w:p w14:paraId="54C7C4E1">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4.3.4修改的内容为投标文件的组成部分。修改的投标文件应按照本章第3条、第4条的规定进行编制、密封、标记和递交，并标明“修改”字样。</w:t>
      </w:r>
    </w:p>
    <w:p w14:paraId="0EF37903">
      <w:pPr>
        <w:bidi w:val="0"/>
        <w:rPr>
          <w:rFonts w:hint="eastAsia" w:ascii="宋体" w:hAnsi="宋体" w:eastAsia="宋体" w:cs="宋体"/>
          <w:b/>
          <w:bCs/>
          <w:sz w:val="28"/>
          <w:szCs w:val="28"/>
        </w:rPr>
      </w:pPr>
      <w:bookmarkStart w:id="132" w:name="_Toc9271"/>
      <w:bookmarkEnd w:id="132"/>
      <w:bookmarkStart w:id="133" w:name="_Toc14362"/>
      <w:bookmarkEnd w:id="133"/>
      <w:bookmarkStart w:id="134" w:name="_Toc20324"/>
      <w:bookmarkStart w:id="135" w:name="_Toc6373"/>
      <w:bookmarkStart w:id="136" w:name="_Toc7233"/>
      <w:r>
        <w:rPr>
          <w:rFonts w:hint="eastAsia" w:ascii="宋体" w:hAnsi="宋体" w:eastAsia="宋体" w:cs="宋体"/>
          <w:b/>
          <w:bCs/>
          <w:sz w:val="28"/>
          <w:szCs w:val="28"/>
        </w:rPr>
        <w:t>5.开标</w:t>
      </w:r>
      <w:bookmarkEnd w:id="134"/>
      <w:bookmarkEnd w:id="135"/>
      <w:bookmarkEnd w:id="136"/>
    </w:p>
    <w:p w14:paraId="6CE34C35">
      <w:pPr>
        <w:spacing w:line="360" w:lineRule="auto"/>
        <w:rPr>
          <w:rFonts w:ascii="宋体" w:hAnsi="宋体" w:cs="宋体"/>
          <w:b/>
          <w:i w:val="0"/>
          <w:iCs w:val="0"/>
          <w:color w:val="auto"/>
          <w:sz w:val="24"/>
          <w:szCs w:val="24"/>
          <w:highlight w:val="none"/>
        </w:rPr>
      </w:pPr>
      <w:bookmarkStart w:id="137" w:name="_Toc1527"/>
      <w:bookmarkEnd w:id="137"/>
      <w:bookmarkStart w:id="138" w:name="_Toc9143"/>
      <w:r>
        <w:rPr>
          <w:rFonts w:hint="eastAsia" w:ascii="宋体" w:hAnsi="宋体" w:cs="宋体"/>
          <w:b/>
          <w:i w:val="0"/>
          <w:iCs w:val="0"/>
          <w:color w:val="auto"/>
          <w:sz w:val="24"/>
          <w:szCs w:val="24"/>
          <w:highlight w:val="none"/>
        </w:rPr>
        <w:t>5.1 开标时间和地点</w:t>
      </w:r>
      <w:bookmarkEnd w:id="138"/>
    </w:p>
    <w:p w14:paraId="4DD95C57">
      <w:pPr>
        <w:spacing w:line="360" w:lineRule="auto"/>
        <w:ind w:firstLine="480" w:firstLineChars="200"/>
        <w:rPr>
          <w:rFonts w:ascii="宋体" w:hAnsi="宋体" w:cs="宋体"/>
          <w:i w:val="0"/>
          <w:iCs w:val="0"/>
          <w:color w:val="auto"/>
          <w:sz w:val="24"/>
          <w:szCs w:val="24"/>
          <w:highlight w:val="none"/>
        </w:rPr>
      </w:pPr>
      <w:bookmarkStart w:id="139" w:name="_Toc27792"/>
      <w:bookmarkEnd w:id="139"/>
      <w:bookmarkStart w:id="140" w:name="_Toc21332"/>
      <w:bookmarkEnd w:id="140"/>
      <w:bookmarkStart w:id="141" w:name="_Toc24636"/>
      <w:r>
        <w:rPr>
          <w:rFonts w:hint="eastAsia" w:ascii="宋体" w:hAnsi="宋体" w:cs="宋体"/>
          <w:i w:val="0"/>
          <w:iCs w:val="0"/>
          <w:color w:val="auto"/>
          <w:sz w:val="24"/>
          <w:szCs w:val="24"/>
          <w:highlight w:val="none"/>
        </w:rPr>
        <w:t>开标时间和地点见投标人须知前附表，开标应邀请所有投标人的法定代表人（单位负责人）或其委托代理人准时参加。</w:t>
      </w:r>
    </w:p>
    <w:p w14:paraId="085EF86C">
      <w:pPr>
        <w:spacing w:line="360" w:lineRule="auto"/>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5.2 开标程序</w:t>
      </w:r>
      <w:bookmarkEnd w:id="141"/>
    </w:p>
    <w:p w14:paraId="6D882184">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主持人按下列程序进行开标：</w:t>
      </w:r>
    </w:p>
    <w:p w14:paraId="336FC2F9">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(1)宣布开标纪律；</w:t>
      </w:r>
    </w:p>
    <w:p w14:paraId="183E3893">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(2)公布在投标截止时间前递交投标文件的投标人情况；</w:t>
      </w:r>
    </w:p>
    <w:p w14:paraId="3686D0CD">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(3)介绍开标人、唱标人、记录人</w:t>
      </w:r>
      <w:r>
        <w:rPr>
          <w:rFonts w:hint="eastAsia" w:ascii="宋体" w:hAnsi="宋体" w:cs="宋体"/>
          <w:i w:val="0"/>
          <w:iCs w:val="0"/>
          <w:color w:val="auto"/>
          <w:highlight w:val="none"/>
        </w:rPr>
        <w:t>、</w:t>
      </w:r>
      <w:r>
        <w:rPr>
          <w:rFonts w:hint="eastAsia" w:ascii="宋体" w:hAnsi="宋体" w:cs="宋体"/>
          <w:i w:val="0"/>
          <w:iCs w:val="0"/>
          <w:color w:val="auto"/>
          <w:sz w:val="24"/>
          <w:szCs w:val="24"/>
          <w:highlight w:val="none"/>
        </w:rPr>
        <w:t>监标人等有关人员；</w:t>
      </w:r>
    </w:p>
    <w:p w14:paraId="76FAB4EC">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(4)投标人或者其推选的代表检查投标文件的密封情况，按照投标人须知前附表规定的开标顺序当众开标，公布开标一览表中的内容及其他内容，并记录在案；</w:t>
      </w:r>
    </w:p>
    <w:p w14:paraId="519CA37D">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(5)投标人代表、招标人代表、记录人、监标人等有关人员在开标记录上签字确认；</w:t>
      </w:r>
    </w:p>
    <w:p w14:paraId="5F52AD20">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(6)开标结束。</w:t>
      </w:r>
    </w:p>
    <w:p w14:paraId="2DA3B03B">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投标人不足3家的，不得开标。</w:t>
      </w:r>
    </w:p>
    <w:p w14:paraId="5642D9C6">
      <w:pPr>
        <w:spacing w:line="360" w:lineRule="auto"/>
        <w:rPr>
          <w:rFonts w:ascii="宋体" w:hAnsi="宋体" w:cs="宋体"/>
          <w:b/>
          <w:i w:val="0"/>
          <w:iCs w:val="0"/>
          <w:color w:val="auto"/>
          <w:sz w:val="24"/>
          <w:szCs w:val="24"/>
          <w:highlight w:val="none"/>
        </w:rPr>
      </w:pPr>
      <w:bookmarkStart w:id="142" w:name="_Toc27216"/>
      <w:bookmarkEnd w:id="142"/>
      <w:bookmarkStart w:id="143" w:name="_Toc22860"/>
      <w:r>
        <w:rPr>
          <w:rFonts w:hint="eastAsia" w:ascii="宋体" w:hAnsi="宋体" w:cs="宋体"/>
          <w:b/>
          <w:i w:val="0"/>
          <w:iCs w:val="0"/>
          <w:color w:val="auto"/>
          <w:sz w:val="24"/>
          <w:szCs w:val="24"/>
          <w:highlight w:val="none"/>
        </w:rPr>
        <w:t>5.3 开标</w:t>
      </w:r>
      <w:bookmarkEnd w:id="143"/>
      <w:r>
        <w:rPr>
          <w:rFonts w:hint="eastAsia" w:ascii="宋体" w:hAnsi="宋体" w:cs="宋体"/>
          <w:b/>
          <w:i w:val="0"/>
          <w:iCs w:val="0"/>
          <w:color w:val="auto"/>
          <w:sz w:val="24"/>
          <w:szCs w:val="24"/>
          <w:highlight w:val="none"/>
        </w:rPr>
        <w:t>异议</w:t>
      </w:r>
    </w:p>
    <w:p w14:paraId="3BE8CE89">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开标过程应当由招标人或者招标代理机构负责记录，由参加开标的各投标人代表和相关工作人员签字确认后随</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一并存档。</w:t>
      </w:r>
    </w:p>
    <w:p w14:paraId="49E23EB8">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代表对开标过程和开标记录有异议，以及认为招标人、招标代理机构相关工作人员有需要回避的情形的，应当场提出询问或者回避申请。招标人、招标代理机构对投标人代表提出的询问或者回避申请应当及时处理。</w:t>
      </w:r>
    </w:p>
    <w:p w14:paraId="4E4B2790">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投标人未参加开标的，视同认可开标结果。</w:t>
      </w:r>
    </w:p>
    <w:p w14:paraId="1F97CA88">
      <w:pPr>
        <w:bidi w:val="0"/>
        <w:rPr>
          <w:rFonts w:hint="eastAsia" w:ascii="宋体" w:hAnsi="宋体" w:eastAsia="宋体" w:cs="宋体"/>
          <w:b/>
          <w:bCs/>
          <w:sz w:val="28"/>
          <w:szCs w:val="28"/>
        </w:rPr>
      </w:pPr>
      <w:bookmarkStart w:id="144" w:name="_Toc26040"/>
      <w:bookmarkEnd w:id="144"/>
      <w:bookmarkStart w:id="145" w:name="_Toc25563"/>
      <w:bookmarkEnd w:id="145"/>
      <w:bookmarkStart w:id="146" w:name="_Toc11518"/>
      <w:bookmarkEnd w:id="146"/>
      <w:bookmarkStart w:id="147" w:name="_Toc28237"/>
      <w:bookmarkEnd w:id="147"/>
      <w:bookmarkStart w:id="148" w:name="_Toc27754"/>
      <w:bookmarkEnd w:id="148"/>
      <w:bookmarkStart w:id="149" w:name="_Toc3756"/>
      <w:bookmarkStart w:id="150" w:name="_Toc16055"/>
      <w:bookmarkStart w:id="151" w:name="_Toc29087"/>
      <w:bookmarkStart w:id="152" w:name="_Toc6727"/>
      <w:bookmarkStart w:id="153" w:name="_Toc6336"/>
      <w:r>
        <w:rPr>
          <w:rFonts w:hint="eastAsia" w:ascii="宋体" w:hAnsi="宋体" w:eastAsia="宋体" w:cs="宋体"/>
          <w:b/>
          <w:bCs/>
          <w:sz w:val="28"/>
          <w:szCs w:val="28"/>
        </w:rPr>
        <w:t>6.评标</w:t>
      </w:r>
      <w:bookmarkEnd w:id="149"/>
      <w:bookmarkEnd w:id="150"/>
      <w:bookmarkEnd w:id="151"/>
      <w:bookmarkEnd w:id="152"/>
    </w:p>
    <w:bookmarkEnd w:id="153"/>
    <w:p w14:paraId="00C2E95D">
      <w:pPr>
        <w:spacing w:line="360" w:lineRule="auto"/>
        <w:rPr>
          <w:rFonts w:ascii="宋体" w:hAnsi="宋体" w:cs="宋体"/>
          <w:b/>
          <w:i w:val="0"/>
          <w:iCs w:val="0"/>
          <w:color w:val="auto"/>
          <w:sz w:val="24"/>
          <w:szCs w:val="24"/>
          <w:highlight w:val="none"/>
        </w:rPr>
      </w:pPr>
      <w:bookmarkStart w:id="154" w:name="_Toc11207"/>
      <w:bookmarkEnd w:id="154"/>
      <w:bookmarkStart w:id="155" w:name="_Toc4614591"/>
      <w:bookmarkStart w:id="156" w:name="_Toc13313"/>
      <w:r>
        <w:rPr>
          <w:rFonts w:hint="eastAsia" w:ascii="宋体" w:hAnsi="宋体" w:cs="宋体"/>
          <w:b/>
          <w:i w:val="0"/>
          <w:iCs w:val="0"/>
          <w:color w:val="auto"/>
          <w:sz w:val="24"/>
          <w:szCs w:val="24"/>
          <w:highlight w:val="none"/>
        </w:rPr>
        <w:t>6.1 评标委员会</w:t>
      </w:r>
      <w:bookmarkEnd w:id="155"/>
    </w:p>
    <w:p w14:paraId="6F2FD6F9">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6.1.1评标由招标人依法组建的评标委员会负责。评标委员会由招标人代表和有关技术、经济等方面的专家组成。评标委员会成员人数见投标人须知前附表。</w:t>
      </w:r>
    </w:p>
    <w:p w14:paraId="636A1CDE">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6.1.2评标委员会成员有下列情形之一的，应当回避：</w:t>
      </w:r>
    </w:p>
    <w:p w14:paraId="20B54271">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(1)投标人或投标人主要负责人的近亲属；</w:t>
      </w:r>
    </w:p>
    <w:p w14:paraId="7B807CFD">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(2)项目主管部门或者行政监督部门的人员；</w:t>
      </w:r>
    </w:p>
    <w:p w14:paraId="13F421E2">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(3)与投标人有经济利益关系，可能影响对投标公正评审的；</w:t>
      </w:r>
    </w:p>
    <w:p w14:paraId="76673C84">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(4)曾因在招标、评标以及其他与招标投标有关活动中从事违法行为而受过行政处罚或刑事处罚的；</w:t>
      </w:r>
    </w:p>
    <w:p w14:paraId="6DB95E33">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(5)与投标人有其他利害关系。</w:t>
      </w:r>
    </w:p>
    <w:p w14:paraId="4FA45D19">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6.1.3评标过程中，评标委员会成员有回避事由、擅离职守或者因健康等原因不能继续评标的，招标人有权更换。被更换的评标委员会成员作出的评审结论无效，由更换后的评标委员会成员重新进行评审。</w:t>
      </w:r>
    </w:p>
    <w:p w14:paraId="05EF873B">
      <w:pPr>
        <w:spacing w:line="360" w:lineRule="auto"/>
        <w:rPr>
          <w:rFonts w:ascii="宋体" w:hAnsi="宋体" w:cs="宋体"/>
          <w:b/>
          <w:i w:val="0"/>
          <w:iCs w:val="0"/>
          <w:color w:val="auto"/>
          <w:sz w:val="24"/>
          <w:szCs w:val="24"/>
          <w:highlight w:val="none"/>
        </w:rPr>
      </w:pPr>
      <w:bookmarkStart w:id="157" w:name="_bookmark57"/>
      <w:bookmarkEnd w:id="157"/>
      <w:bookmarkStart w:id="158" w:name="_Toc4614592"/>
      <w:r>
        <w:rPr>
          <w:rFonts w:hint="eastAsia" w:ascii="宋体" w:hAnsi="宋体" w:cs="宋体"/>
          <w:b/>
          <w:i w:val="0"/>
          <w:iCs w:val="0"/>
          <w:color w:val="auto"/>
          <w:sz w:val="24"/>
          <w:szCs w:val="24"/>
          <w:highlight w:val="none"/>
        </w:rPr>
        <w:t>6.2 评标原则</w:t>
      </w:r>
      <w:bookmarkEnd w:id="158"/>
    </w:p>
    <w:p w14:paraId="7A264E14">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评标活动</w:t>
      </w:r>
      <w:r>
        <w:rPr>
          <w:rFonts w:hint="eastAsia" w:ascii="宋体" w:hAnsi="宋体" w:cs="宋体"/>
          <w:i w:val="0"/>
          <w:iCs w:val="0"/>
          <w:color w:val="auto"/>
          <w:sz w:val="24"/>
          <w:szCs w:val="24"/>
          <w:highlight w:val="none"/>
          <w:lang w:eastAsia="zh-CN"/>
        </w:rPr>
        <w:t>遵循“质量优先、价格合理、阳光操作、严格监管”</w:t>
      </w:r>
      <w:r>
        <w:rPr>
          <w:rFonts w:hint="eastAsia" w:ascii="宋体" w:hAnsi="宋体" w:cs="宋体"/>
          <w:i w:val="0"/>
          <w:iCs w:val="0"/>
          <w:color w:val="auto"/>
          <w:sz w:val="24"/>
          <w:szCs w:val="24"/>
          <w:highlight w:val="none"/>
        </w:rPr>
        <w:t>的原则。</w:t>
      </w:r>
      <w:bookmarkStart w:id="159" w:name="_bookmark58"/>
      <w:bookmarkEnd w:id="159"/>
    </w:p>
    <w:p w14:paraId="05E0297B">
      <w:pPr>
        <w:spacing w:line="360" w:lineRule="auto"/>
        <w:rPr>
          <w:rFonts w:ascii="宋体" w:hAnsi="宋体" w:cs="宋体"/>
          <w:b/>
          <w:i w:val="0"/>
          <w:iCs w:val="0"/>
          <w:color w:val="auto"/>
          <w:sz w:val="24"/>
          <w:szCs w:val="24"/>
          <w:highlight w:val="none"/>
        </w:rPr>
      </w:pPr>
      <w:bookmarkStart w:id="160" w:name="_Toc4614593"/>
      <w:r>
        <w:rPr>
          <w:rFonts w:hint="eastAsia" w:ascii="宋体" w:hAnsi="宋体" w:cs="宋体"/>
          <w:b/>
          <w:i w:val="0"/>
          <w:iCs w:val="0"/>
          <w:color w:val="auto"/>
          <w:sz w:val="24"/>
          <w:szCs w:val="24"/>
          <w:highlight w:val="none"/>
        </w:rPr>
        <w:t>6.3 评标</w:t>
      </w:r>
      <w:bookmarkEnd w:id="160"/>
    </w:p>
    <w:p w14:paraId="4E084D2B">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6.3.1评标委员会按照第三章“评标办法”规定的方法、评审因素、标准和程序对投标文件进行评审。第三章“评标办法”没有规定的方法、评审因素和标准，不作为评标依据。</w:t>
      </w:r>
    </w:p>
    <w:p w14:paraId="7A4BE813">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6.3.2评标委员会按得分由高到低顺序推荐成交候选人，最终中标单位由招标人确定；</w:t>
      </w:r>
    </w:p>
    <w:p w14:paraId="6E1DB12C">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6.3.3若有效投标文件不足三个使投标明显缺乏竞争的，评标委员会可以否决全部投标。</w:t>
      </w:r>
    </w:p>
    <w:p w14:paraId="364CF843">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6.3.4若有效投标文件不足三个但仍然具备竞争力的，评标委员会可以继续按本</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的相关规定及评审办法向招标人推荐候选人。</w:t>
      </w:r>
    </w:p>
    <w:p w14:paraId="28AF90D7">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6.3.5投标人所有投标文件被否决的，招标人应当依法重新组织招标。</w:t>
      </w:r>
    </w:p>
    <w:p w14:paraId="1C6EFAFE">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6.3.6评标完成后，评标委员会应当向招标人提交书面评标报告和中标候选人名单。评标委员会推荐中标候选人的人数见投标人须知前附表。</w:t>
      </w:r>
    </w:p>
    <w:p w14:paraId="6086270F">
      <w:pPr>
        <w:bidi w:val="0"/>
        <w:rPr>
          <w:rFonts w:hint="eastAsia" w:ascii="宋体" w:hAnsi="宋体" w:eastAsia="宋体" w:cs="宋体"/>
          <w:b/>
          <w:bCs/>
          <w:sz w:val="28"/>
          <w:szCs w:val="28"/>
        </w:rPr>
      </w:pPr>
      <w:bookmarkStart w:id="161" w:name="_bookmark59"/>
      <w:bookmarkEnd w:id="161"/>
      <w:bookmarkStart w:id="162" w:name="_Toc4614594"/>
      <w:bookmarkStart w:id="163" w:name="_Toc24966"/>
      <w:bookmarkStart w:id="164" w:name="_Toc2092"/>
      <w:r>
        <w:rPr>
          <w:rFonts w:hint="eastAsia" w:ascii="宋体" w:hAnsi="宋体" w:eastAsia="宋体" w:cs="宋体"/>
          <w:b/>
          <w:bCs/>
          <w:sz w:val="28"/>
          <w:szCs w:val="28"/>
        </w:rPr>
        <w:t>7.合同授予</w:t>
      </w:r>
      <w:bookmarkEnd w:id="162"/>
      <w:bookmarkEnd w:id="163"/>
      <w:bookmarkEnd w:id="164"/>
    </w:p>
    <w:p w14:paraId="606094C7">
      <w:pPr>
        <w:spacing w:line="360" w:lineRule="auto"/>
        <w:rPr>
          <w:rFonts w:ascii="宋体" w:hAnsi="宋体" w:cs="宋体"/>
          <w:b/>
          <w:i w:val="0"/>
          <w:iCs w:val="0"/>
          <w:color w:val="auto"/>
          <w:sz w:val="24"/>
          <w:szCs w:val="24"/>
          <w:highlight w:val="none"/>
        </w:rPr>
      </w:pPr>
      <w:bookmarkStart w:id="165" w:name="_bookmark60"/>
      <w:bookmarkEnd w:id="165"/>
      <w:bookmarkStart w:id="166" w:name="_Toc4614595"/>
      <w:r>
        <w:rPr>
          <w:rFonts w:hint="eastAsia" w:ascii="宋体" w:hAnsi="宋体" w:cs="宋体"/>
          <w:b/>
          <w:i w:val="0"/>
          <w:iCs w:val="0"/>
          <w:color w:val="auto"/>
          <w:sz w:val="24"/>
          <w:szCs w:val="24"/>
          <w:highlight w:val="none"/>
        </w:rPr>
        <w:t>7.1 中标候选人公示</w:t>
      </w:r>
      <w:bookmarkEnd w:id="166"/>
    </w:p>
    <w:p w14:paraId="6EB3A087">
      <w:pPr>
        <w:spacing w:line="360" w:lineRule="auto"/>
        <w:ind w:firstLine="480" w:firstLineChars="200"/>
        <w:rPr>
          <w:rFonts w:ascii="宋体" w:hAnsi="宋体" w:cs="宋体"/>
          <w:i w:val="0"/>
          <w:iCs w:val="0"/>
          <w:color w:val="auto"/>
          <w:sz w:val="24"/>
          <w:szCs w:val="24"/>
          <w:highlight w:val="none"/>
        </w:rPr>
      </w:pPr>
      <w:bookmarkStart w:id="167" w:name="_bookmark61"/>
      <w:bookmarkEnd w:id="167"/>
      <w:bookmarkStart w:id="168" w:name="_Toc4614596"/>
      <w:r>
        <w:rPr>
          <w:rFonts w:hint="eastAsia" w:ascii="宋体" w:hAnsi="宋体" w:cs="宋体"/>
          <w:i w:val="0"/>
          <w:iCs w:val="0"/>
          <w:color w:val="auto"/>
          <w:sz w:val="24"/>
          <w:szCs w:val="24"/>
          <w:highlight w:val="none"/>
        </w:rPr>
        <w:t>招标人在收到评标报告之日起3日内，按照投标人须知前附表规定的公示媒介和期限公示中标候选人。</w:t>
      </w:r>
    </w:p>
    <w:p w14:paraId="329ECF89">
      <w:pPr>
        <w:spacing w:line="360" w:lineRule="auto"/>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7.2 评标结果异议</w:t>
      </w:r>
      <w:bookmarkEnd w:id="168"/>
    </w:p>
    <w:p w14:paraId="2A1AA5F9">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投标人或者其他利害关系人对评标结果有异议的，应当在中标候选人公示期间提出。招标人将在收到异议之日起3日内作出答复；作出答复前，将暂停招标投标活动。</w:t>
      </w:r>
    </w:p>
    <w:p w14:paraId="734E2C12">
      <w:pPr>
        <w:spacing w:line="360" w:lineRule="auto"/>
        <w:rPr>
          <w:rFonts w:ascii="宋体" w:hAnsi="宋体" w:cs="宋体"/>
          <w:b/>
          <w:i w:val="0"/>
          <w:iCs w:val="0"/>
          <w:color w:val="auto"/>
          <w:sz w:val="24"/>
          <w:szCs w:val="24"/>
          <w:highlight w:val="none"/>
        </w:rPr>
      </w:pPr>
      <w:bookmarkStart w:id="169" w:name="_bookmark62"/>
      <w:bookmarkEnd w:id="169"/>
      <w:bookmarkStart w:id="170" w:name="_Toc4614597"/>
      <w:r>
        <w:rPr>
          <w:rFonts w:hint="eastAsia" w:ascii="宋体" w:hAnsi="宋体" w:cs="宋体"/>
          <w:b/>
          <w:i w:val="0"/>
          <w:iCs w:val="0"/>
          <w:color w:val="auto"/>
          <w:sz w:val="24"/>
          <w:szCs w:val="24"/>
          <w:highlight w:val="none"/>
        </w:rPr>
        <w:t>7.3 中标候选人履约能力审查</w:t>
      </w:r>
      <w:bookmarkEnd w:id="170"/>
    </w:p>
    <w:p w14:paraId="61D5933B">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中标候选人的经营、财务状况发生较大变化或存在违法行为，招标人认为可能影响其履约能力的，将在发出中标通知书前提请原评标委员会按照</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规定的标准和方法进行审查确认。</w:t>
      </w:r>
    </w:p>
    <w:p w14:paraId="01E6F420">
      <w:pPr>
        <w:spacing w:line="360" w:lineRule="auto"/>
        <w:rPr>
          <w:rFonts w:ascii="宋体" w:hAnsi="宋体" w:cs="宋体"/>
          <w:b/>
          <w:i w:val="0"/>
          <w:iCs w:val="0"/>
          <w:color w:val="auto"/>
          <w:sz w:val="24"/>
          <w:szCs w:val="24"/>
          <w:highlight w:val="none"/>
        </w:rPr>
      </w:pPr>
      <w:bookmarkStart w:id="171" w:name="_bookmark63"/>
      <w:bookmarkEnd w:id="171"/>
      <w:bookmarkStart w:id="172" w:name="_Toc4614598"/>
      <w:r>
        <w:rPr>
          <w:rFonts w:hint="eastAsia" w:ascii="宋体" w:hAnsi="宋体" w:cs="宋体"/>
          <w:b/>
          <w:i w:val="0"/>
          <w:iCs w:val="0"/>
          <w:color w:val="auto"/>
          <w:sz w:val="24"/>
          <w:szCs w:val="24"/>
          <w:highlight w:val="none"/>
        </w:rPr>
        <w:t>7.4 定标</w:t>
      </w:r>
      <w:bookmarkEnd w:id="172"/>
    </w:p>
    <w:p w14:paraId="2D68FA4B">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按照投标人须知前附表的规定，招标人或招标人授权的评标委员会依法确定中标人。</w:t>
      </w:r>
    </w:p>
    <w:p w14:paraId="7D2F25CB">
      <w:pPr>
        <w:spacing w:line="360" w:lineRule="auto"/>
        <w:rPr>
          <w:rFonts w:ascii="宋体" w:hAnsi="宋体" w:cs="宋体"/>
          <w:b/>
          <w:i w:val="0"/>
          <w:iCs w:val="0"/>
          <w:color w:val="auto"/>
          <w:sz w:val="24"/>
          <w:szCs w:val="24"/>
          <w:highlight w:val="none"/>
        </w:rPr>
      </w:pPr>
      <w:bookmarkStart w:id="173" w:name="_bookmark64"/>
      <w:bookmarkEnd w:id="173"/>
      <w:bookmarkStart w:id="174" w:name="_Toc4614599"/>
      <w:r>
        <w:rPr>
          <w:rFonts w:hint="eastAsia" w:ascii="宋体" w:hAnsi="宋体" w:cs="宋体"/>
          <w:b/>
          <w:i w:val="0"/>
          <w:iCs w:val="0"/>
          <w:color w:val="auto"/>
          <w:sz w:val="24"/>
          <w:szCs w:val="24"/>
          <w:highlight w:val="none"/>
        </w:rPr>
        <w:t>7.5 中标通知</w:t>
      </w:r>
      <w:bookmarkEnd w:id="174"/>
    </w:p>
    <w:p w14:paraId="3BA08C81">
      <w:pPr>
        <w:pStyle w:val="7"/>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在本章第3.3款规定的投标有效期内，招标人以书面形式向中标人发出中标通知书。</w:t>
      </w:r>
    </w:p>
    <w:p w14:paraId="1277ACB7">
      <w:pPr>
        <w:spacing w:line="360" w:lineRule="auto"/>
        <w:rPr>
          <w:rFonts w:ascii="宋体" w:hAnsi="宋体" w:cs="宋体"/>
          <w:b/>
          <w:i w:val="0"/>
          <w:iCs w:val="0"/>
          <w:color w:val="auto"/>
          <w:sz w:val="24"/>
          <w:szCs w:val="24"/>
          <w:highlight w:val="none"/>
        </w:rPr>
      </w:pPr>
      <w:bookmarkStart w:id="175" w:name="_bookmark65"/>
      <w:bookmarkEnd w:id="175"/>
      <w:bookmarkStart w:id="176" w:name="_Toc4614600"/>
      <w:r>
        <w:rPr>
          <w:rFonts w:hint="eastAsia" w:ascii="宋体" w:hAnsi="宋体" w:cs="宋体"/>
          <w:b/>
          <w:i w:val="0"/>
          <w:iCs w:val="0"/>
          <w:color w:val="auto"/>
          <w:sz w:val="24"/>
          <w:szCs w:val="24"/>
          <w:highlight w:val="none"/>
        </w:rPr>
        <w:t>7.6 履约保证金</w:t>
      </w:r>
      <w:bookmarkEnd w:id="176"/>
    </w:p>
    <w:p w14:paraId="5F539139">
      <w:pPr>
        <w:spacing w:line="360" w:lineRule="auto"/>
        <w:ind w:firstLine="480" w:firstLineChars="200"/>
        <w:rPr>
          <w:rFonts w:hint="eastAsia" w:ascii="宋体" w:hAnsi="宋体" w:cs="宋体"/>
          <w:i w:val="0"/>
          <w:iCs w:val="0"/>
          <w:color w:val="auto"/>
          <w:kern w:val="0"/>
          <w:sz w:val="24"/>
          <w:highlight w:val="none"/>
          <w:lang w:eastAsia="zh-CN"/>
        </w:rPr>
      </w:pPr>
      <w:bookmarkStart w:id="177" w:name="_bookmark66"/>
      <w:bookmarkEnd w:id="177"/>
      <w:bookmarkStart w:id="178" w:name="_Toc4614601"/>
      <w:r>
        <w:rPr>
          <w:rFonts w:hint="eastAsia" w:ascii="宋体" w:hAnsi="宋体" w:cs="宋体"/>
          <w:i w:val="0"/>
          <w:iCs w:val="0"/>
          <w:color w:val="auto"/>
          <w:kern w:val="0"/>
          <w:sz w:val="24"/>
          <w:highlight w:val="none"/>
          <w:lang w:eastAsia="zh-CN"/>
        </w:rPr>
        <w:t>本项目不收取履约保证金。</w:t>
      </w:r>
    </w:p>
    <w:p w14:paraId="22FFF426">
      <w:pPr>
        <w:spacing w:line="360" w:lineRule="auto"/>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7.7 签订合同</w:t>
      </w:r>
      <w:bookmarkEnd w:id="178"/>
    </w:p>
    <w:p w14:paraId="3572856E">
      <w:pPr>
        <w:pStyle w:val="7"/>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7.7.1招标人和中标人应当在中标通知书发出之日起30日内，根据</w:t>
      </w:r>
      <w:r>
        <w:rPr>
          <w:rFonts w:hint="eastAsia" w:ascii="宋体" w:hAnsi="宋体" w:cs="宋体"/>
          <w:i w:val="0"/>
          <w:iCs w:val="0"/>
          <w:color w:val="auto"/>
          <w:kern w:val="0"/>
          <w:sz w:val="24"/>
          <w:highlight w:val="none"/>
          <w:lang w:eastAsia="zh-CN"/>
        </w:rPr>
        <w:t>招标文件</w:t>
      </w:r>
      <w:r>
        <w:rPr>
          <w:rFonts w:hint="eastAsia" w:ascii="宋体" w:hAnsi="宋体" w:cs="宋体"/>
          <w:i w:val="0"/>
          <w:iCs w:val="0"/>
          <w:color w:val="auto"/>
          <w:kern w:val="0"/>
          <w:sz w:val="24"/>
          <w:highlight w:val="none"/>
        </w:rPr>
        <w:t>和中标人的投标文件订立书面合同。中标人无正当理由拒签合同，在签订合同时向招标人提出附加条件，或者不按照</w:t>
      </w:r>
      <w:r>
        <w:rPr>
          <w:rFonts w:hint="eastAsia" w:ascii="宋体" w:hAnsi="宋体" w:cs="宋体"/>
          <w:i w:val="0"/>
          <w:iCs w:val="0"/>
          <w:color w:val="auto"/>
          <w:kern w:val="0"/>
          <w:sz w:val="24"/>
          <w:highlight w:val="none"/>
          <w:lang w:eastAsia="zh-CN"/>
        </w:rPr>
        <w:t>招标文件</w:t>
      </w:r>
      <w:r>
        <w:rPr>
          <w:rFonts w:hint="eastAsia" w:ascii="宋体" w:hAnsi="宋体" w:cs="宋体"/>
          <w:i w:val="0"/>
          <w:iCs w:val="0"/>
          <w:color w:val="auto"/>
          <w:kern w:val="0"/>
          <w:sz w:val="24"/>
          <w:highlight w:val="none"/>
        </w:rPr>
        <w:t>要求提交履约保证金的，招标人有权取消其中标资格，其投标保证金不予退还；给招标人造成的损失超过投标保证金数额的，中标人还应当对超过部分予以赔偿。</w:t>
      </w:r>
    </w:p>
    <w:p w14:paraId="6F4E46A9">
      <w:pPr>
        <w:pStyle w:val="7"/>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7.7.2发出中标通知书后，招标人无正当理由拒签合同，或者在签订合同时向中标人提出附加条件的，招标人向中标人退还投标保证金；给中标人造成损失的，还应当赔偿损失。</w:t>
      </w:r>
    </w:p>
    <w:p w14:paraId="0C0333D6">
      <w:pPr>
        <w:bidi w:val="0"/>
        <w:rPr>
          <w:rFonts w:hint="eastAsia" w:ascii="宋体" w:hAnsi="宋体" w:eastAsia="宋体" w:cs="宋体"/>
          <w:b/>
          <w:bCs/>
          <w:sz w:val="28"/>
          <w:szCs w:val="28"/>
        </w:rPr>
      </w:pPr>
      <w:bookmarkStart w:id="179" w:name="_bookmark67"/>
      <w:bookmarkEnd w:id="179"/>
      <w:bookmarkStart w:id="180" w:name="_Toc24381"/>
      <w:bookmarkStart w:id="181" w:name="_Toc4614602"/>
      <w:bookmarkStart w:id="182" w:name="_Toc30788"/>
      <w:r>
        <w:rPr>
          <w:rFonts w:hint="eastAsia" w:ascii="宋体" w:hAnsi="宋体" w:eastAsia="宋体" w:cs="宋体"/>
          <w:b/>
          <w:bCs/>
          <w:sz w:val="28"/>
          <w:szCs w:val="28"/>
        </w:rPr>
        <w:t>8.纪律和监督</w:t>
      </w:r>
      <w:bookmarkEnd w:id="180"/>
      <w:bookmarkEnd w:id="181"/>
      <w:bookmarkEnd w:id="182"/>
    </w:p>
    <w:p w14:paraId="2549C55E">
      <w:pPr>
        <w:spacing w:line="360" w:lineRule="auto"/>
        <w:rPr>
          <w:rFonts w:ascii="宋体" w:hAnsi="宋体" w:cs="宋体"/>
          <w:b/>
          <w:i w:val="0"/>
          <w:iCs w:val="0"/>
          <w:color w:val="auto"/>
          <w:sz w:val="24"/>
          <w:szCs w:val="24"/>
          <w:highlight w:val="none"/>
        </w:rPr>
      </w:pPr>
      <w:bookmarkStart w:id="183" w:name="_bookmark68"/>
      <w:bookmarkEnd w:id="183"/>
      <w:bookmarkStart w:id="184" w:name="_Toc4614603"/>
      <w:r>
        <w:rPr>
          <w:rFonts w:hint="eastAsia" w:ascii="宋体" w:hAnsi="宋体" w:cs="宋体"/>
          <w:b/>
          <w:i w:val="0"/>
          <w:iCs w:val="0"/>
          <w:color w:val="auto"/>
          <w:sz w:val="24"/>
          <w:szCs w:val="24"/>
          <w:highlight w:val="none"/>
        </w:rPr>
        <w:t>8.1 对招标人的纪律要求</w:t>
      </w:r>
      <w:bookmarkEnd w:id="184"/>
    </w:p>
    <w:p w14:paraId="0C4A7CED">
      <w:pPr>
        <w:pStyle w:val="7"/>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招标人不得泄露招标投标活动中应当保密的情况和资料，不得与投标人串通损害国家利益、社会公共利益或者他人合法权益。</w:t>
      </w:r>
    </w:p>
    <w:p w14:paraId="24615C2C">
      <w:pPr>
        <w:spacing w:line="360" w:lineRule="auto"/>
        <w:rPr>
          <w:rFonts w:ascii="宋体" w:hAnsi="宋体" w:cs="宋体"/>
          <w:b/>
          <w:i w:val="0"/>
          <w:iCs w:val="0"/>
          <w:color w:val="auto"/>
          <w:sz w:val="24"/>
          <w:szCs w:val="24"/>
          <w:highlight w:val="none"/>
        </w:rPr>
      </w:pPr>
      <w:bookmarkStart w:id="185" w:name="_bookmark69"/>
      <w:bookmarkEnd w:id="185"/>
      <w:bookmarkStart w:id="186" w:name="_Toc4614604"/>
      <w:r>
        <w:rPr>
          <w:rFonts w:hint="eastAsia" w:ascii="宋体" w:hAnsi="宋体" w:cs="宋体"/>
          <w:b/>
          <w:i w:val="0"/>
          <w:iCs w:val="0"/>
          <w:color w:val="auto"/>
          <w:sz w:val="24"/>
          <w:szCs w:val="24"/>
          <w:highlight w:val="none"/>
        </w:rPr>
        <w:t>8.2 对投标人的纪律要求</w:t>
      </w:r>
      <w:bookmarkEnd w:id="186"/>
    </w:p>
    <w:p w14:paraId="2592D39E">
      <w:pPr>
        <w:pStyle w:val="7"/>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6D4C51E3">
      <w:pPr>
        <w:spacing w:line="360" w:lineRule="auto"/>
        <w:rPr>
          <w:rFonts w:ascii="宋体" w:hAnsi="宋体" w:cs="宋体"/>
          <w:b/>
          <w:i w:val="0"/>
          <w:iCs w:val="0"/>
          <w:color w:val="auto"/>
          <w:sz w:val="24"/>
          <w:szCs w:val="24"/>
          <w:highlight w:val="none"/>
        </w:rPr>
      </w:pPr>
      <w:bookmarkStart w:id="187" w:name="_bookmark70"/>
      <w:bookmarkEnd w:id="187"/>
      <w:bookmarkStart w:id="188" w:name="_Toc4614605"/>
      <w:r>
        <w:rPr>
          <w:rFonts w:hint="eastAsia" w:ascii="宋体" w:hAnsi="宋体" w:cs="宋体"/>
          <w:b/>
          <w:i w:val="0"/>
          <w:iCs w:val="0"/>
          <w:color w:val="auto"/>
          <w:sz w:val="24"/>
          <w:szCs w:val="24"/>
          <w:highlight w:val="none"/>
        </w:rPr>
        <w:t>8.3对评标委员会成员的纪律要求</w:t>
      </w:r>
      <w:bookmarkEnd w:id="188"/>
    </w:p>
    <w:p w14:paraId="1372D660">
      <w:pPr>
        <w:pStyle w:val="7"/>
        <w:spacing w:line="360" w:lineRule="auto"/>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14:paraId="099622B6">
      <w:pPr>
        <w:spacing w:line="360" w:lineRule="auto"/>
        <w:rPr>
          <w:rFonts w:ascii="宋体" w:hAnsi="宋体" w:cs="宋体"/>
          <w:b/>
          <w:i w:val="0"/>
          <w:iCs w:val="0"/>
          <w:color w:val="auto"/>
          <w:sz w:val="24"/>
          <w:szCs w:val="24"/>
          <w:highlight w:val="none"/>
        </w:rPr>
      </w:pPr>
      <w:bookmarkStart w:id="189" w:name="_bookmark71"/>
      <w:bookmarkEnd w:id="189"/>
      <w:bookmarkStart w:id="190" w:name="_Toc4614606"/>
      <w:r>
        <w:rPr>
          <w:rFonts w:hint="eastAsia" w:ascii="宋体" w:hAnsi="宋体" w:cs="宋体"/>
          <w:b/>
          <w:i w:val="0"/>
          <w:iCs w:val="0"/>
          <w:color w:val="auto"/>
          <w:sz w:val="24"/>
          <w:szCs w:val="24"/>
          <w:highlight w:val="none"/>
        </w:rPr>
        <w:t>8.4对与评标活动有关的工作人员的纪律要求</w:t>
      </w:r>
      <w:bookmarkEnd w:id="190"/>
    </w:p>
    <w:p w14:paraId="042682FE">
      <w:pPr>
        <w:pStyle w:val="7"/>
        <w:spacing w:line="360" w:lineRule="auto"/>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14:paraId="3F40F2E9">
      <w:pPr>
        <w:spacing w:line="360" w:lineRule="auto"/>
        <w:rPr>
          <w:rFonts w:ascii="宋体" w:hAnsi="宋体" w:cs="宋体"/>
          <w:b/>
          <w:i w:val="0"/>
          <w:iCs w:val="0"/>
          <w:color w:val="auto"/>
          <w:sz w:val="24"/>
          <w:szCs w:val="24"/>
          <w:highlight w:val="none"/>
        </w:rPr>
      </w:pPr>
      <w:bookmarkStart w:id="191" w:name="_bookmark72"/>
      <w:bookmarkEnd w:id="191"/>
      <w:bookmarkStart w:id="192" w:name="_Toc4614607"/>
      <w:r>
        <w:rPr>
          <w:rFonts w:hint="eastAsia" w:ascii="宋体" w:hAnsi="宋体" w:cs="宋体"/>
          <w:b/>
          <w:i w:val="0"/>
          <w:iCs w:val="0"/>
          <w:color w:val="auto"/>
          <w:sz w:val="24"/>
          <w:szCs w:val="24"/>
          <w:highlight w:val="none"/>
        </w:rPr>
        <w:t>8.5 投诉</w:t>
      </w:r>
      <w:bookmarkEnd w:id="192"/>
    </w:p>
    <w:p w14:paraId="69D4D0F3">
      <w:pPr>
        <w:pStyle w:val="7"/>
        <w:spacing w:line="360" w:lineRule="auto"/>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8.5.1投标人或者其他利害关系人认为招标投标活动不符合法律、行政法规规定的，可以自知道或者应当知道之日起10日内向</w:t>
      </w:r>
      <w:r>
        <w:rPr>
          <w:rFonts w:hint="eastAsia" w:ascii="宋体" w:hAnsi="宋体" w:cs="宋体"/>
          <w:i w:val="0"/>
          <w:iCs w:val="0"/>
          <w:color w:val="auto"/>
          <w:kern w:val="0"/>
          <w:sz w:val="24"/>
          <w:highlight w:val="none"/>
          <w:lang w:eastAsia="zh-CN"/>
        </w:rPr>
        <w:t>医院纪委或</w:t>
      </w:r>
      <w:r>
        <w:rPr>
          <w:rFonts w:hint="eastAsia" w:ascii="宋体" w:hAnsi="宋体" w:cs="宋体"/>
          <w:i w:val="0"/>
          <w:iCs w:val="0"/>
          <w:color w:val="auto"/>
          <w:kern w:val="0"/>
          <w:sz w:val="24"/>
          <w:highlight w:val="none"/>
        </w:rPr>
        <w:t>有关行政监督部门投诉。投诉应当有明确的请求和必要的证明材料。</w:t>
      </w:r>
    </w:p>
    <w:p w14:paraId="3CB30395">
      <w:pPr>
        <w:pStyle w:val="7"/>
        <w:spacing w:line="360" w:lineRule="auto"/>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8.5.2投标人或者其他利害关系人对</w:t>
      </w:r>
      <w:r>
        <w:rPr>
          <w:rFonts w:hint="eastAsia" w:ascii="宋体" w:hAnsi="宋体" w:cs="宋体"/>
          <w:i w:val="0"/>
          <w:iCs w:val="0"/>
          <w:color w:val="auto"/>
          <w:kern w:val="0"/>
          <w:sz w:val="24"/>
          <w:highlight w:val="none"/>
          <w:lang w:eastAsia="zh-CN"/>
        </w:rPr>
        <w:t>招标文件</w:t>
      </w:r>
      <w:r>
        <w:rPr>
          <w:rFonts w:hint="eastAsia" w:ascii="宋体" w:hAnsi="宋体" w:cs="宋体"/>
          <w:i w:val="0"/>
          <w:iCs w:val="0"/>
          <w:color w:val="auto"/>
          <w:kern w:val="0"/>
          <w:sz w:val="24"/>
          <w:highlight w:val="none"/>
        </w:rPr>
        <w:t>、开标和评标结果提出投诉的，应当按照投标人须知第2.4款、第5.3款和第7.2款的规定先向招标人提出</w:t>
      </w:r>
      <w:r>
        <w:rPr>
          <w:rFonts w:hint="eastAsia" w:ascii="宋体" w:hAnsi="宋体" w:cs="宋体"/>
          <w:i w:val="0"/>
          <w:iCs w:val="0"/>
          <w:color w:val="auto"/>
          <w:kern w:val="0"/>
          <w:sz w:val="24"/>
          <w:highlight w:val="none"/>
          <w:lang w:eastAsia="zh-CN"/>
        </w:rPr>
        <w:t>质疑</w:t>
      </w:r>
      <w:r>
        <w:rPr>
          <w:rFonts w:hint="eastAsia" w:ascii="宋体" w:hAnsi="宋体" w:cs="宋体"/>
          <w:i w:val="0"/>
          <w:iCs w:val="0"/>
          <w:color w:val="auto"/>
          <w:kern w:val="0"/>
          <w:sz w:val="24"/>
          <w:highlight w:val="none"/>
        </w:rPr>
        <w:t>。</w:t>
      </w:r>
      <w:r>
        <w:rPr>
          <w:rFonts w:hint="eastAsia" w:ascii="宋体" w:hAnsi="宋体" w:cs="宋体"/>
          <w:i w:val="0"/>
          <w:iCs w:val="0"/>
          <w:color w:val="auto"/>
          <w:kern w:val="0"/>
          <w:sz w:val="24"/>
          <w:highlight w:val="none"/>
          <w:lang w:eastAsia="zh-CN"/>
        </w:rPr>
        <w:t>质疑</w:t>
      </w:r>
      <w:r>
        <w:rPr>
          <w:rFonts w:hint="eastAsia" w:ascii="宋体" w:hAnsi="宋体" w:cs="宋体"/>
          <w:i w:val="0"/>
          <w:iCs w:val="0"/>
          <w:color w:val="auto"/>
          <w:kern w:val="0"/>
          <w:sz w:val="24"/>
          <w:highlight w:val="none"/>
        </w:rPr>
        <w:t>答复期间不计算在第8.5.1项规定的期限内。</w:t>
      </w:r>
    </w:p>
    <w:p w14:paraId="37AACA49">
      <w:pPr>
        <w:bidi w:val="0"/>
        <w:spacing w:line="360" w:lineRule="auto"/>
        <w:rPr>
          <w:rFonts w:hint="eastAsia" w:ascii="宋体" w:hAnsi="宋体" w:eastAsia="宋体" w:cs="宋体"/>
          <w:b/>
          <w:bCs/>
          <w:sz w:val="28"/>
          <w:szCs w:val="28"/>
        </w:rPr>
      </w:pPr>
      <w:bookmarkStart w:id="193" w:name="_bookmark74"/>
      <w:bookmarkEnd w:id="193"/>
      <w:bookmarkStart w:id="194" w:name="_bookmark73"/>
      <w:bookmarkEnd w:id="194"/>
      <w:bookmarkStart w:id="195" w:name="_Toc7494"/>
      <w:bookmarkStart w:id="196" w:name="_Toc4614608"/>
      <w:bookmarkStart w:id="197" w:name="_Toc21296"/>
      <w:r>
        <w:rPr>
          <w:rFonts w:hint="eastAsia" w:ascii="宋体" w:hAnsi="宋体" w:eastAsia="宋体" w:cs="宋体"/>
          <w:b/>
          <w:bCs/>
          <w:sz w:val="28"/>
          <w:szCs w:val="28"/>
        </w:rPr>
        <w:t>9.需要补充的其他内容</w:t>
      </w:r>
      <w:bookmarkEnd w:id="195"/>
      <w:bookmarkEnd w:id="196"/>
      <w:bookmarkEnd w:id="197"/>
    </w:p>
    <w:p w14:paraId="66D0D221">
      <w:pPr>
        <w:pStyle w:val="7"/>
        <w:spacing w:line="360" w:lineRule="auto"/>
        <w:ind w:firstLine="480" w:firstLineChars="200"/>
        <w:rPr>
          <w:rFonts w:ascii="宋体" w:hAnsi="宋体" w:cs="宋体"/>
          <w:b w:val="0"/>
          <w:i w:val="0"/>
          <w:iCs w:val="0"/>
          <w:color w:val="auto"/>
          <w:highlight w:val="none"/>
        </w:rPr>
      </w:pPr>
      <w:r>
        <w:rPr>
          <w:rFonts w:hint="eastAsia" w:ascii="宋体" w:hAnsi="宋体" w:cs="宋体"/>
          <w:i w:val="0"/>
          <w:iCs w:val="0"/>
          <w:color w:val="auto"/>
          <w:kern w:val="0"/>
          <w:sz w:val="24"/>
          <w:highlight w:val="none"/>
        </w:rPr>
        <w:t>需要补充的其他内容：见投标人须知前附表。</w:t>
      </w:r>
      <w:r>
        <w:rPr>
          <w:rFonts w:hint="eastAsia" w:ascii="宋体" w:hAnsi="宋体" w:cs="宋体"/>
          <w:i w:val="0"/>
          <w:iCs w:val="0"/>
          <w:color w:val="auto"/>
          <w:highlight w:val="none"/>
        </w:rPr>
        <w:br w:type="page"/>
      </w:r>
      <w:bookmarkStart w:id="198" w:name="_Toc30379"/>
      <w:bookmarkStart w:id="199" w:name="_Toc32353"/>
      <w:bookmarkStart w:id="200" w:name="_Toc248"/>
      <w:bookmarkStart w:id="201" w:name="_Toc6484898"/>
      <w:bookmarkStart w:id="202" w:name="_Toc28853"/>
      <w:bookmarkStart w:id="203" w:name="_Toc4501"/>
      <w:bookmarkStart w:id="204" w:name="_Toc6421866"/>
      <w:bookmarkStart w:id="205" w:name="_Toc9853"/>
      <w:bookmarkStart w:id="206" w:name="_Toc28285"/>
      <w:bookmarkStart w:id="207" w:name="_Toc6221718"/>
      <w:r>
        <w:rPr>
          <w:rFonts w:hint="eastAsia" w:asciiTheme="minorAscii" w:hAnsiTheme="minorAscii" w:eastAsiaTheme="minorEastAsia" w:cstheme="minorBidi"/>
          <w:kern w:val="2"/>
          <w:sz w:val="24"/>
          <w:szCs w:val="24"/>
          <w:lang w:val="en-US" w:eastAsia="zh-CN" w:bidi="ar-SA"/>
        </w:rPr>
        <w:t>附件一：问题澄清通知</w:t>
      </w:r>
      <w:bookmarkEnd w:id="198"/>
      <w:bookmarkEnd w:id="199"/>
      <w:bookmarkEnd w:id="200"/>
      <w:bookmarkEnd w:id="201"/>
      <w:bookmarkEnd w:id="202"/>
      <w:bookmarkEnd w:id="203"/>
      <w:bookmarkEnd w:id="204"/>
      <w:bookmarkEnd w:id="205"/>
      <w:bookmarkEnd w:id="206"/>
      <w:bookmarkEnd w:id="207"/>
    </w:p>
    <w:p w14:paraId="5F2ED32D">
      <w:pPr>
        <w:pStyle w:val="7"/>
        <w:rPr>
          <w:rFonts w:ascii="宋体" w:hAnsi="宋体" w:cs="宋体"/>
          <w:b/>
          <w:i w:val="0"/>
          <w:iCs w:val="0"/>
          <w:color w:val="auto"/>
          <w:sz w:val="20"/>
          <w:highlight w:val="none"/>
        </w:rPr>
      </w:pPr>
    </w:p>
    <w:p w14:paraId="5E69B9BC">
      <w:pPr>
        <w:spacing w:line="360" w:lineRule="auto"/>
        <w:ind w:right="13"/>
        <w:jc w:val="center"/>
        <w:rPr>
          <w:rFonts w:ascii="宋体" w:hAnsi="宋体" w:cs="宋体"/>
          <w:b/>
          <w:i w:val="0"/>
          <w:iCs w:val="0"/>
          <w:color w:val="auto"/>
          <w:sz w:val="28"/>
          <w:highlight w:val="none"/>
        </w:rPr>
      </w:pPr>
      <w:r>
        <w:rPr>
          <w:rFonts w:hint="eastAsia" w:ascii="宋体" w:hAnsi="宋体" w:cs="宋体"/>
          <w:b/>
          <w:i w:val="0"/>
          <w:iCs w:val="0"/>
          <w:color w:val="auto"/>
          <w:sz w:val="28"/>
          <w:highlight w:val="none"/>
        </w:rPr>
        <w:t>问题澄清通知</w:t>
      </w:r>
    </w:p>
    <w:p w14:paraId="3FFD1808">
      <w:pPr>
        <w:pStyle w:val="7"/>
        <w:tabs>
          <w:tab w:val="left" w:pos="2937"/>
        </w:tabs>
        <w:ind w:right="20"/>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（编号：</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rPr>
        <w:t>）</w:t>
      </w:r>
    </w:p>
    <w:p w14:paraId="5D3CD553">
      <w:pPr>
        <w:pStyle w:val="7"/>
        <w:rPr>
          <w:rFonts w:ascii="宋体" w:hAnsi="宋体" w:cs="宋体"/>
          <w:i w:val="0"/>
          <w:iCs w:val="0"/>
          <w:color w:val="auto"/>
          <w:sz w:val="24"/>
          <w:highlight w:val="none"/>
        </w:rPr>
      </w:pPr>
    </w:p>
    <w:p w14:paraId="13F81046">
      <w:pPr>
        <w:pStyle w:val="7"/>
        <w:tabs>
          <w:tab w:val="left" w:pos="2305"/>
        </w:tabs>
        <w:ind w:left="100" w:right="102"/>
        <w:rPr>
          <w:rFonts w:ascii="宋体" w:hAnsi="宋体" w:cs="宋体"/>
          <w:i w:val="0"/>
          <w:iCs w:val="0"/>
          <w:color w:val="auto"/>
          <w:sz w:val="24"/>
          <w:highlight w:val="none"/>
        </w:rPr>
      </w:pPr>
      <w:r>
        <w:rPr>
          <w:rFonts w:hint="eastAsia" w:ascii="宋体" w:hAnsi="宋体" w:cs="宋体"/>
          <w:i w:val="0"/>
          <w:iCs w:val="0"/>
          <w:color w:val="auto"/>
          <w:sz w:val="24"/>
          <w:highlight w:val="none"/>
          <w:u w:val="single"/>
        </w:rPr>
        <w:tab/>
      </w:r>
      <w:r>
        <w:rPr>
          <w:rFonts w:hint="eastAsia" w:ascii="宋体" w:hAnsi="宋体" w:cs="宋体"/>
          <w:i w:val="0"/>
          <w:iCs w:val="0"/>
          <w:color w:val="auto"/>
          <w:spacing w:val="-3"/>
          <w:sz w:val="24"/>
          <w:highlight w:val="none"/>
        </w:rPr>
        <w:t>（</w:t>
      </w:r>
      <w:r>
        <w:rPr>
          <w:rFonts w:hint="eastAsia" w:ascii="宋体" w:hAnsi="宋体" w:cs="宋体"/>
          <w:i w:val="0"/>
          <w:iCs w:val="0"/>
          <w:color w:val="auto"/>
          <w:sz w:val="24"/>
          <w:highlight w:val="none"/>
        </w:rPr>
        <w:t>投标</w:t>
      </w:r>
      <w:r>
        <w:rPr>
          <w:rFonts w:hint="eastAsia" w:ascii="宋体" w:hAnsi="宋体" w:cs="宋体"/>
          <w:i w:val="0"/>
          <w:iCs w:val="0"/>
          <w:color w:val="auto"/>
          <w:spacing w:val="-3"/>
          <w:sz w:val="24"/>
          <w:highlight w:val="none"/>
        </w:rPr>
        <w:t>人</w:t>
      </w:r>
      <w:r>
        <w:rPr>
          <w:rFonts w:hint="eastAsia" w:ascii="宋体" w:hAnsi="宋体" w:cs="宋体"/>
          <w:i w:val="0"/>
          <w:iCs w:val="0"/>
          <w:color w:val="auto"/>
          <w:sz w:val="24"/>
          <w:highlight w:val="none"/>
        </w:rPr>
        <w:t>名</w:t>
      </w:r>
      <w:r>
        <w:rPr>
          <w:rFonts w:hint="eastAsia" w:ascii="宋体" w:hAnsi="宋体" w:cs="宋体"/>
          <w:i w:val="0"/>
          <w:iCs w:val="0"/>
          <w:color w:val="auto"/>
          <w:spacing w:val="-3"/>
          <w:sz w:val="24"/>
          <w:highlight w:val="none"/>
        </w:rPr>
        <w:t>称）：</w:t>
      </w:r>
    </w:p>
    <w:p w14:paraId="3D9498F9">
      <w:pPr>
        <w:pStyle w:val="7"/>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评标委员会对你方的投标文件进行了仔细的审查，现需你方对下列问题以书面形式予以澄清、说明或补正：</w:t>
      </w:r>
    </w:p>
    <w:p w14:paraId="6B1A43EF">
      <w:pPr>
        <w:pStyle w:val="7"/>
        <w:widowControl w:val="0"/>
        <w:spacing w:line="480" w:lineRule="auto"/>
        <w:ind w:left="522" w:right="102"/>
        <w:rPr>
          <w:rFonts w:ascii="宋体" w:hAnsi="宋体" w:cs="宋体"/>
          <w:i w:val="0"/>
          <w:iCs w:val="0"/>
          <w:color w:val="auto"/>
          <w:sz w:val="24"/>
          <w:highlight w:val="none"/>
        </w:rPr>
      </w:pPr>
      <w:r>
        <w:rPr>
          <w:rFonts w:hint="eastAsia" w:ascii="宋体" w:hAnsi="宋体" w:cs="宋体"/>
          <w:i w:val="0"/>
          <w:iCs w:val="0"/>
          <w:color w:val="auto"/>
          <w:sz w:val="24"/>
          <w:highlight w:val="none"/>
        </w:rPr>
        <w:t>1.</w:t>
      </w:r>
    </w:p>
    <w:p w14:paraId="225195BF">
      <w:pPr>
        <w:pStyle w:val="7"/>
        <w:widowControl w:val="0"/>
        <w:spacing w:line="480" w:lineRule="auto"/>
        <w:ind w:left="522" w:right="102"/>
        <w:rPr>
          <w:rFonts w:ascii="宋体" w:hAnsi="宋体" w:cs="宋体"/>
          <w:i w:val="0"/>
          <w:iCs w:val="0"/>
          <w:color w:val="auto"/>
          <w:sz w:val="24"/>
          <w:highlight w:val="none"/>
        </w:rPr>
      </w:pPr>
      <w:r>
        <w:rPr>
          <w:rFonts w:hint="eastAsia" w:ascii="宋体" w:hAnsi="宋体" w:cs="宋体"/>
          <w:i w:val="0"/>
          <w:iCs w:val="0"/>
          <w:color w:val="auto"/>
          <w:sz w:val="24"/>
          <w:highlight w:val="none"/>
        </w:rPr>
        <w:t>2.</w:t>
      </w:r>
    </w:p>
    <w:p w14:paraId="760C1677">
      <w:pPr>
        <w:pStyle w:val="7"/>
        <w:widowControl w:val="0"/>
        <w:spacing w:line="480" w:lineRule="auto"/>
        <w:ind w:left="522" w:right="102"/>
        <w:rPr>
          <w:rFonts w:ascii="宋体" w:hAnsi="宋体" w:cs="宋体"/>
          <w:i w:val="0"/>
          <w:iCs w:val="0"/>
          <w:color w:val="auto"/>
          <w:sz w:val="24"/>
          <w:highlight w:val="none"/>
        </w:rPr>
      </w:pPr>
      <w:r>
        <w:rPr>
          <w:rFonts w:hint="eastAsia" w:ascii="宋体" w:hAnsi="宋体" w:cs="宋体"/>
          <w:i w:val="0"/>
          <w:iCs w:val="0"/>
          <w:color w:val="auto"/>
          <w:sz w:val="24"/>
          <w:highlight w:val="none"/>
        </w:rPr>
        <w:t>……</w:t>
      </w:r>
    </w:p>
    <w:p w14:paraId="10E8265C">
      <w:pPr>
        <w:pStyle w:val="7"/>
        <w:ind w:left="628" w:right="102"/>
        <w:rPr>
          <w:rFonts w:ascii="宋体" w:hAnsi="宋体" w:cs="宋体"/>
          <w:i w:val="0"/>
          <w:iCs w:val="0"/>
          <w:color w:val="auto"/>
          <w:sz w:val="24"/>
          <w:highlight w:val="none"/>
        </w:rPr>
      </w:pPr>
    </w:p>
    <w:p w14:paraId="0319DAEA">
      <w:pPr>
        <w:pStyle w:val="7"/>
        <w:rPr>
          <w:rFonts w:ascii="宋体" w:hAnsi="宋体" w:cs="宋体"/>
          <w:i w:val="0"/>
          <w:iCs w:val="0"/>
          <w:color w:val="auto"/>
          <w:sz w:val="24"/>
          <w:highlight w:val="none"/>
        </w:rPr>
      </w:pPr>
    </w:p>
    <w:p w14:paraId="1CBE715F">
      <w:pPr>
        <w:pStyle w:val="7"/>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请将上述问题的澄清、说明或补正于</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年</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月</w:t>
      </w:r>
      <w:r>
        <w:rPr>
          <w:rFonts w:hint="eastAsia" w:ascii="宋体" w:hAnsi="宋体" w:cs="宋体"/>
          <w:i w:val="0"/>
          <w:iCs w:val="0"/>
          <w:color w:val="auto"/>
          <w:sz w:val="24"/>
          <w:highlight w:val="none"/>
          <w:u w:val="single"/>
        </w:rPr>
        <w:tab/>
      </w:r>
      <w:r>
        <w:rPr>
          <w:rFonts w:hint="eastAsia" w:ascii="宋体" w:hAnsi="宋体" w:cs="宋体"/>
          <w:i w:val="0"/>
          <w:iCs w:val="0"/>
          <w:color w:val="auto"/>
          <w:spacing w:val="-3"/>
          <w:sz w:val="24"/>
          <w:highlight w:val="none"/>
        </w:rPr>
        <w:t>日</w:t>
      </w:r>
      <w:r>
        <w:rPr>
          <w:rFonts w:hint="eastAsia" w:ascii="宋体" w:hAnsi="宋体" w:cs="宋体"/>
          <w:i w:val="0"/>
          <w:iCs w:val="0"/>
          <w:color w:val="auto"/>
          <w:spacing w:val="-3"/>
          <w:sz w:val="24"/>
          <w:highlight w:val="none"/>
          <w:u w:val="single"/>
        </w:rPr>
        <w:tab/>
      </w:r>
      <w:r>
        <w:rPr>
          <w:rFonts w:hint="eastAsia" w:ascii="宋体" w:hAnsi="宋体" w:cs="宋体"/>
          <w:i w:val="0"/>
          <w:iCs w:val="0"/>
          <w:color w:val="auto"/>
          <w:sz w:val="24"/>
          <w:highlight w:val="none"/>
        </w:rPr>
        <w:t>时前递交至</w:t>
      </w:r>
      <w:r>
        <w:rPr>
          <w:rFonts w:hint="eastAsia" w:ascii="宋体" w:hAnsi="宋体" w:cs="宋体"/>
          <w:i w:val="0"/>
          <w:iCs w:val="0"/>
          <w:color w:val="auto"/>
          <w:spacing w:val="-3"/>
          <w:sz w:val="24"/>
          <w:highlight w:val="none"/>
          <w:u w:val="single"/>
        </w:rPr>
        <w:tab/>
      </w:r>
      <w:r>
        <w:rPr>
          <w:rFonts w:hint="eastAsia" w:ascii="宋体" w:hAnsi="宋体" w:cs="宋体"/>
          <w:i w:val="0"/>
          <w:iCs w:val="0"/>
          <w:color w:val="auto"/>
          <w:spacing w:val="-3"/>
          <w:sz w:val="24"/>
          <w:highlight w:val="none"/>
          <w:u w:val="single"/>
        </w:rPr>
        <w:t xml:space="preserve">   </w:t>
      </w:r>
      <w:r>
        <w:rPr>
          <w:rFonts w:hint="eastAsia" w:ascii="宋体" w:hAnsi="宋体" w:cs="宋体"/>
          <w:i w:val="0"/>
          <w:iCs w:val="0"/>
          <w:color w:val="auto"/>
          <w:spacing w:val="-5"/>
          <w:sz w:val="24"/>
          <w:highlight w:val="none"/>
        </w:rPr>
        <w:t>（详细地址）或邮件发送至</w:t>
      </w:r>
      <w:r>
        <w:rPr>
          <w:rFonts w:hint="eastAsia" w:ascii="宋体" w:hAnsi="宋体" w:cs="宋体"/>
          <w:i w:val="0"/>
          <w:iCs w:val="0"/>
          <w:color w:val="auto"/>
          <w:spacing w:val="-5"/>
          <w:sz w:val="24"/>
          <w:highlight w:val="none"/>
          <w:u w:val="single"/>
        </w:rPr>
        <w:tab/>
      </w:r>
      <w:r>
        <w:rPr>
          <w:rFonts w:hint="eastAsia" w:ascii="宋体" w:hAnsi="宋体" w:cs="宋体"/>
          <w:i w:val="0"/>
          <w:iCs w:val="0"/>
          <w:color w:val="auto"/>
          <w:spacing w:val="-5"/>
          <w:sz w:val="24"/>
          <w:highlight w:val="none"/>
          <w:u w:val="single"/>
        </w:rPr>
        <w:t xml:space="preserve">   </w:t>
      </w:r>
      <w:r>
        <w:rPr>
          <w:rFonts w:hint="eastAsia" w:ascii="宋体" w:hAnsi="宋体" w:cs="宋体"/>
          <w:i w:val="0"/>
          <w:iCs w:val="0"/>
          <w:color w:val="auto"/>
          <w:spacing w:val="-5"/>
          <w:sz w:val="24"/>
          <w:highlight w:val="none"/>
        </w:rPr>
        <w:t>（邮箱号码）</w:t>
      </w:r>
      <w:r>
        <w:rPr>
          <w:rFonts w:hint="eastAsia" w:ascii="宋体" w:hAnsi="宋体" w:cs="宋体"/>
          <w:i w:val="0"/>
          <w:iCs w:val="0"/>
          <w:color w:val="auto"/>
          <w:sz w:val="24"/>
          <w:highlight w:val="none"/>
        </w:rPr>
        <w:t>。采用邮件发送方式的，应在</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年</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月</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日</w:t>
      </w:r>
      <w:r>
        <w:rPr>
          <w:rFonts w:hint="eastAsia" w:ascii="宋体" w:hAnsi="宋体" w:cs="宋体"/>
          <w:i w:val="0"/>
          <w:iCs w:val="0"/>
          <w:color w:val="auto"/>
          <w:sz w:val="24"/>
          <w:highlight w:val="none"/>
          <w:u w:val="single"/>
        </w:rPr>
        <w:tab/>
      </w:r>
      <w:r>
        <w:rPr>
          <w:rFonts w:hint="eastAsia" w:ascii="宋体" w:hAnsi="宋体" w:cs="宋体"/>
          <w:i w:val="0"/>
          <w:iCs w:val="0"/>
          <w:color w:val="auto"/>
          <w:spacing w:val="-3"/>
          <w:sz w:val="24"/>
          <w:highlight w:val="none"/>
        </w:rPr>
        <w:t>时</w:t>
      </w:r>
      <w:r>
        <w:rPr>
          <w:rFonts w:hint="eastAsia" w:ascii="宋体" w:hAnsi="宋体" w:cs="宋体"/>
          <w:i w:val="0"/>
          <w:iCs w:val="0"/>
          <w:color w:val="auto"/>
          <w:sz w:val="24"/>
          <w:highlight w:val="none"/>
        </w:rPr>
        <w:t>前</w:t>
      </w:r>
      <w:r>
        <w:rPr>
          <w:rFonts w:hint="eastAsia" w:ascii="宋体" w:hAnsi="宋体" w:cs="宋体"/>
          <w:i w:val="0"/>
          <w:iCs w:val="0"/>
          <w:color w:val="auto"/>
          <w:spacing w:val="-3"/>
          <w:sz w:val="24"/>
          <w:highlight w:val="none"/>
        </w:rPr>
        <w:t>将</w:t>
      </w:r>
      <w:r>
        <w:rPr>
          <w:rFonts w:hint="eastAsia" w:ascii="宋体" w:hAnsi="宋体" w:cs="宋体"/>
          <w:i w:val="0"/>
          <w:iCs w:val="0"/>
          <w:color w:val="auto"/>
          <w:sz w:val="24"/>
          <w:highlight w:val="none"/>
        </w:rPr>
        <w:t>原件</w:t>
      </w:r>
      <w:r>
        <w:rPr>
          <w:rFonts w:hint="eastAsia" w:ascii="宋体" w:hAnsi="宋体" w:cs="宋体"/>
          <w:i w:val="0"/>
          <w:iCs w:val="0"/>
          <w:color w:val="auto"/>
          <w:spacing w:val="-3"/>
          <w:sz w:val="24"/>
          <w:highlight w:val="none"/>
        </w:rPr>
        <w:t>递</w:t>
      </w:r>
      <w:r>
        <w:rPr>
          <w:rFonts w:hint="eastAsia" w:ascii="宋体" w:hAnsi="宋体" w:cs="宋体"/>
          <w:i w:val="0"/>
          <w:iCs w:val="0"/>
          <w:color w:val="auto"/>
          <w:sz w:val="24"/>
          <w:highlight w:val="none"/>
        </w:rPr>
        <w:t>交</w:t>
      </w:r>
      <w:r>
        <w:rPr>
          <w:rFonts w:hint="eastAsia" w:ascii="宋体" w:hAnsi="宋体" w:cs="宋体"/>
          <w:i w:val="0"/>
          <w:iCs w:val="0"/>
          <w:color w:val="auto"/>
          <w:spacing w:val="-3"/>
          <w:sz w:val="24"/>
          <w:highlight w:val="none"/>
        </w:rPr>
        <w:t>至</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pacing w:val="-3"/>
          <w:sz w:val="24"/>
          <w:highlight w:val="none"/>
        </w:rPr>
        <w:t>（</w:t>
      </w:r>
      <w:r>
        <w:rPr>
          <w:rFonts w:hint="eastAsia" w:ascii="宋体" w:hAnsi="宋体" w:cs="宋体"/>
          <w:i w:val="0"/>
          <w:iCs w:val="0"/>
          <w:color w:val="auto"/>
          <w:sz w:val="24"/>
          <w:highlight w:val="none"/>
        </w:rPr>
        <w:t>详</w:t>
      </w:r>
      <w:r>
        <w:rPr>
          <w:rFonts w:hint="eastAsia" w:ascii="宋体" w:hAnsi="宋体" w:cs="宋体"/>
          <w:i w:val="0"/>
          <w:iCs w:val="0"/>
          <w:color w:val="auto"/>
          <w:spacing w:val="-3"/>
          <w:sz w:val="24"/>
          <w:highlight w:val="none"/>
        </w:rPr>
        <w:t>细</w:t>
      </w:r>
      <w:r>
        <w:rPr>
          <w:rFonts w:hint="eastAsia" w:ascii="宋体" w:hAnsi="宋体" w:cs="宋体"/>
          <w:i w:val="0"/>
          <w:iCs w:val="0"/>
          <w:color w:val="auto"/>
          <w:sz w:val="24"/>
          <w:highlight w:val="none"/>
        </w:rPr>
        <w:t>地</w:t>
      </w:r>
      <w:r>
        <w:rPr>
          <w:rFonts w:hint="eastAsia" w:ascii="宋体" w:hAnsi="宋体" w:cs="宋体"/>
          <w:i w:val="0"/>
          <w:iCs w:val="0"/>
          <w:color w:val="auto"/>
          <w:spacing w:val="-3"/>
          <w:sz w:val="24"/>
          <w:highlight w:val="none"/>
        </w:rPr>
        <w:t>址）。</w:t>
      </w:r>
    </w:p>
    <w:p w14:paraId="696C4281">
      <w:pPr>
        <w:pStyle w:val="7"/>
        <w:rPr>
          <w:rFonts w:ascii="宋体" w:hAnsi="宋体" w:cs="宋体"/>
          <w:i w:val="0"/>
          <w:iCs w:val="0"/>
          <w:color w:val="auto"/>
          <w:sz w:val="24"/>
          <w:highlight w:val="none"/>
        </w:rPr>
      </w:pPr>
    </w:p>
    <w:p w14:paraId="09B5CE31">
      <w:pPr>
        <w:pStyle w:val="7"/>
        <w:rPr>
          <w:rFonts w:ascii="宋体" w:hAnsi="宋体" w:cs="宋体"/>
          <w:i w:val="0"/>
          <w:iCs w:val="0"/>
          <w:color w:val="auto"/>
          <w:sz w:val="24"/>
          <w:highlight w:val="none"/>
        </w:rPr>
      </w:pPr>
    </w:p>
    <w:p w14:paraId="1DDE39BD">
      <w:pPr>
        <w:pStyle w:val="7"/>
        <w:jc w:val="right"/>
        <w:rPr>
          <w:rFonts w:ascii="宋体" w:hAnsi="宋体" w:cs="宋体"/>
          <w:i w:val="0"/>
          <w:iCs w:val="0"/>
          <w:color w:val="auto"/>
          <w:sz w:val="24"/>
          <w:highlight w:val="none"/>
        </w:rPr>
      </w:pPr>
    </w:p>
    <w:p w14:paraId="3613BAAB">
      <w:pPr>
        <w:pStyle w:val="7"/>
        <w:tabs>
          <w:tab w:val="left" w:pos="7032"/>
        </w:tabs>
        <w:wordWrap w:val="0"/>
        <w:ind w:left="2200" w:right="102"/>
        <w:jc w:val="right"/>
        <w:rPr>
          <w:rFonts w:ascii="宋体" w:hAnsi="宋体" w:cs="宋体"/>
          <w:i w:val="0"/>
          <w:iCs w:val="0"/>
          <w:color w:val="auto"/>
          <w:sz w:val="24"/>
          <w:highlight w:val="none"/>
        </w:rPr>
      </w:pPr>
      <w:r>
        <w:rPr>
          <w:rFonts w:hint="eastAsia" w:ascii="宋体" w:hAnsi="宋体" w:cs="宋体"/>
          <w:i w:val="0"/>
          <w:iCs w:val="0"/>
          <w:color w:val="auto"/>
          <w:sz w:val="24"/>
          <w:highlight w:val="none"/>
        </w:rPr>
        <w:t>评标委员会：</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（签字）</w:t>
      </w:r>
    </w:p>
    <w:p w14:paraId="57D6FA7F">
      <w:pPr>
        <w:pStyle w:val="7"/>
        <w:jc w:val="right"/>
        <w:rPr>
          <w:rFonts w:ascii="宋体" w:hAnsi="宋体" w:cs="宋体"/>
          <w:i w:val="0"/>
          <w:iCs w:val="0"/>
          <w:color w:val="auto"/>
          <w:sz w:val="24"/>
          <w:highlight w:val="none"/>
        </w:rPr>
      </w:pPr>
    </w:p>
    <w:p w14:paraId="7AFCAA8D">
      <w:pPr>
        <w:pStyle w:val="7"/>
        <w:jc w:val="right"/>
        <w:rPr>
          <w:rFonts w:ascii="宋体" w:hAnsi="宋体" w:cs="宋体"/>
          <w:i w:val="0"/>
          <w:iCs w:val="0"/>
          <w:color w:val="auto"/>
          <w:sz w:val="24"/>
          <w:highlight w:val="none"/>
        </w:rPr>
      </w:pPr>
    </w:p>
    <w:p w14:paraId="5B4ED78D">
      <w:pPr>
        <w:pStyle w:val="7"/>
        <w:tabs>
          <w:tab w:val="left" w:pos="5803"/>
          <w:tab w:val="left" w:pos="6746"/>
          <w:tab w:val="left" w:pos="7692"/>
        </w:tabs>
        <w:ind w:left="4961" w:right="102"/>
        <w:jc w:val="right"/>
        <w:rPr>
          <w:rFonts w:ascii="宋体" w:hAnsi="宋体" w:cs="宋体"/>
          <w:i w:val="0"/>
          <w:iCs w:val="0"/>
          <w:color w:val="auto"/>
          <w:sz w:val="24"/>
          <w:highlight w:val="none"/>
        </w:rPr>
      </w:pPr>
      <w:r>
        <w:rPr>
          <w:rFonts w:hint="eastAsia" w:ascii="宋体" w:hAnsi="宋体" w:cs="宋体"/>
          <w:i w:val="0"/>
          <w:iCs w:val="0"/>
          <w:color w:val="auto"/>
          <w:sz w:val="24"/>
          <w:highlight w:val="none"/>
          <w:u w:val="single"/>
        </w:rPr>
        <w:tab/>
      </w:r>
      <w:r>
        <w:rPr>
          <w:rFonts w:hint="eastAsia" w:ascii="宋体" w:hAnsi="宋体" w:cs="宋体"/>
          <w:i w:val="0"/>
          <w:iCs w:val="0"/>
          <w:color w:val="auto"/>
          <w:spacing w:val="-3"/>
          <w:sz w:val="24"/>
          <w:highlight w:val="none"/>
        </w:rPr>
        <w:t>年</w:t>
      </w:r>
      <w:r>
        <w:rPr>
          <w:rFonts w:hint="eastAsia" w:ascii="宋体" w:hAnsi="宋体" w:cs="宋体"/>
          <w:i w:val="0"/>
          <w:iCs w:val="0"/>
          <w:color w:val="auto"/>
          <w:spacing w:val="-3"/>
          <w:sz w:val="24"/>
          <w:highlight w:val="none"/>
          <w:u w:val="single"/>
        </w:rPr>
        <w:tab/>
      </w:r>
      <w:r>
        <w:rPr>
          <w:rFonts w:hint="eastAsia" w:ascii="宋体" w:hAnsi="宋体" w:cs="宋体"/>
          <w:i w:val="0"/>
          <w:iCs w:val="0"/>
          <w:color w:val="auto"/>
          <w:sz w:val="24"/>
          <w:highlight w:val="none"/>
        </w:rPr>
        <w:t>月</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rPr>
        <w:t>日</w:t>
      </w:r>
    </w:p>
    <w:p w14:paraId="26CF5F26">
      <w:pPr>
        <w:jc w:val="right"/>
        <w:rPr>
          <w:rFonts w:ascii="宋体" w:hAnsi="宋体" w:cs="宋体"/>
          <w:i w:val="0"/>
          <w:iCs w:val="0"/>
          <w:color w:val="auto"/>
          <w:highlight w:val="none"/>
        </w:rPr>
        <w:sectPr>
          <w:headerReference r:id="rId12" w:type="first"/>
          <w:footerReference r:id="rId14" w:type="first"/>
          <w:footerReference r:id="rId13" w:type="default"/>
          <w:pgSz w:w="12240" w:h="15840"/>
          <w:pgMar w:top="1304" w:right="1304" w:bottom="1304" w:left="1304" w:header="737" w:footer="737" w:gutter="0"/>
          <w:pgNumType w:fmt="decimal" w:start="1"/>
          <w:cols w:space="720" w:num="1"/>
          <w:titlePg/>
          <w:docGrid w:linePitch="299" w:charSpace="0"/>
        </w:sectPr>
      </w:pPr>
    </w:p>
    <w:p w14:paraId="1A7512A9">
      <w:pPr>
        <w:bidi w:val="0"/>
        <w:rPr>
          <w:rFonts w:hint="eastAsia"/>
          <w:lang w:val="en-US" w:eastAsia="zh-CN"/>
        </w:rPr>
      </w:pPr>
      <w:bookmarkStart w:id="208" w:name="_bookmark77"/>
      <w:bookmarkEnd w:id="208"/>
      <w:bookmarkStart w:id="209" w:name="_Toc18006"/>
      <w:bookmarkStart w:id="210" w:name="_Toc11935"/>
      <w:bookmarkStart w:id="211" w:name="_Toc19321"/>
      <w:bookmarkStart w:id="212" w:name="_Toc9346"/>
      <w:bookmarkStart w:id="213" w:name="_Toc19779"/>
      <w:bookmarkStart w:id="214" w:name="_Toc6221719"/>
      <w:bookmarkStart w:id="215" w:name="_Toc7545"/>
      <w:bookmarkStart w:id="216" w:name="_Toc13976"/>
      <w:bookmarkStart w:id="217" w:name="_Toc6484899"/>
      <w:bookmarkStart w:id="218" w:name="_Toc6421867"/>
      <w:r>
        <w:rPr>
          <w:rFonts w:hint="eastAsia"/>
          <w:lang w:val="en-US" w:eastAsia="zh-CN"/>
        </w:rPr>
        <w:t>附件二：问题的澄清</w:t>
      </w:r>
      <w:bookmarkEnd w:id="209"/>
      <w:bookmarkEnd w:id="210"/>
      <w:bookmarkEnd w:id="211"/>
      <w:bookmarkEnd w:id="212"/>
      <w:bookmarkEnd w:id="213"/>
      <w:bookmarkEnd w:id="214"/>
      <w:bookmarkEnd w:id="215"/>
      <w:bookmarkEnd w:id="216"/>
      <w:bookmarkEnd w:id="217"/>
      <w:bookmarkEnd w:id="218"/>
    </w:p>
    <w:p w14:paraId="47FA24B8">
      <w:pPr>
        <w:pStyle w:val="7"/>
        <w:rPr>
          <w:rFonts w:ascii="宋体" w:hAnsi="宋体" w:cs="宋体"/>
          <w:b/>
          <w:i w:val="0"/>
          <w:iCs w:val="0"/>
          <w:color w:val="auto"/>
          <w:sz w:val="20"/>
          <w:highlight w:val="none"/>
        </w:rPr>
      </w:pPr>
    </w:p>
    <w:p w14:paraId="1E5F858A">
      <w:pPr>
        <w:pStyle w:val="7"/>
        <w:rPr>
          <w:rFonts w:ascii="宋体" w:hAnsi="宋体" w:cs="宋体"/>
          <w:b/>
          <w:i w:val="0"/>
          <w:iCs w:val="0"/>
          <w:color w:val="auto"/>
          <w:sz w:val="20"/>
          <w:highlight w:val="none"/>
        </w:rPr>
      </w:pPr>
    </w:p>
    <w:p w14:paraId="69C53BB9">
      <w:pPr>
        <w:pStyle w:val="7"/>
        <w:rPr>
          <w:rFonts w:ascii="宋体" w:hAnsi="宋体" w:cs="宋体"/>
          <w:b/>
          <w:i w:val="0"/>
          <w:iCs w:val="0"/>
          <w:color w:val="auto"/>
          <w:sz w:val="20"/>
          <w:highlight w:val="none"/>
        </w:rPr>
      </w:pPr>
    </w:p>
    <w:p w14:paraId="66664216">
      <w:pPr>
        <w:spacing w:line="360" w:lineRule="auto"/>
        <w:ind w:right="16"/>
        <w:jc w:val="center"/>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问题的澄清</w:t>
      </w:r>
    </w:p>
    <w:p w14:paraId="568E2FC1">
      <w:pPr>
        <w:pStyle w:val="7"/>
        <w:tabs>
          <w:tab w:val="left" w:pos="5947"/>
        </w:tabs>
        <w:ind w:left="3566" w:right="102"/>
        <w:rPr>
          <w:rFonts w:ascii="宋体" w:hAnsi="宋体" w:cs="宋体"/>
          <w:i w:val="0"/>
          <w:iCs w:val="0"/>
          <w:color w:val="auto"/>
          <w:sz w:val="24"/>
          <w:highlight w:val="none"/>
        </w:rPr>
      </w:pPr>
      <w:r>
        <w:rPr>
          <w:rFonts w:hint="eastAsia" w:ascii="宋体" w:hAnsi="宋体" w:cs="宋体"/>
          <w:i w:val="0"/>
          <w:iCs w:val="0"/>
          <w:color w:val="auto"/>
          <w:sz w:val="24"/>
          <w:highlight w:val="none"/>
        </w:rPr>
        <w:t>（编号：</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rPr>
        <w:t>）</w:t>
      </w:r>
    </w:p>
    <w:p w14:paraId="49F7951B">
      <w:pPr>
        <w:pStyle w:val="7"/>
        <w:rPr>
          <w:rFonts w:ascii="宋体" w:hAnsi="宋体" w:cs="宋体"/>
          <w:i w:val="0"/>
          <w:iCs w:val="0"/>
          <w:color w:val="auto"/>
          <w:sz w:val="24"/>
          <w:highlight w:val="none"/>
        </w:rPr>
      </w:pPr>
    </w:p>
    <w:p w14:paraId="3B3EB37F">
      <w:pPr>
        <w:pStyle w:val="7"/>
        <w:ind w:left="100" w:right="102"/>
        <w:rPr>
          <w:rFonts w:ascii="宋体" w:hAnsi="宋体" w:cs="宋体"/>
          <w:i w:val="0"/>
          <w:iCs w:val="0"/>
          <w:color w:val="auto"/>
          <w:sz w:val="24"/>
          <w:highlight w:val="none"/>
        </w:rPr>
      </w:pPr>
      <w:r>
        <w:rPr>
          <w:rFonts w:hint="eastAsia" w:ascii="宋体" w:hAnsi="宋体" w:cs="宋体"/>
          <w:i w:val="0"/>
          <w:iCs w:val="0"/>
          <w:color w:val="auto"/>
          <w:sz w:val="24"/>
          <w:highlight w:val="none"/>
        </w:rPr>
        <w:t>评标委员会：</w:t>
      </w:r>
    </w:p>
    <w:p w14:paraId="5A5B4132">
      <w:pPr>
        <w:pStyle w:val="7"/>
        <w:rPr>
          <w:rFonts w:ascii="宋体" w:hAnsi="宋体" w:cs="宋体"/>
          <w:i w:val="0"/>
          <w:iCs w:val="0"/>
          <w:color w:val="auto"/>
          <w:sz w:val="24"/>
          <w:highlight w:val="none"/>
        </w:rPr>
      </w:pPr>
    </w:p>
    <w:p w14:paraId="3999E6CD">
      <w:pPr>
        <w:pStyle w:val="7"/>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问题澄清通知（编号：</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）已收悉，现澄清、说明或补正如下：</w:t>
      </w:r>
    </w:p>
    <w:p w14:paraId="01B54733">
      <w:pPr>
        <w:pStyle w:val="7"/>
        <w:widowControl w:val="0"/>
        <w:spacing w:line="480" w:lineRule="auto"/>
        <w:ind w:left="522" w:right="102"/>
        <w:rPr>
          <w:rFonts w:ascii="宋体" w:hAnsi="宋体" w:cs="宋体"/>
          <w:i w:val="0"/>
          <w:iCs w:val="0"/>
          <w:color w:val="auto"/>
          <w:sz w:val="24"/>
          <w:highlight w:val="none"/>
        </w:rPr>
      </w:pPr>
      <w:r>
        <w:rPr>
          <w:rFonts w:hint="eastAsia" w:ascii="宋体" w:hAnsi="宋体" w:cs="宋体"/>
          <w:i w:val="0"/>
          <w:iCs w:val="0"/>
          <w:color w:val="auto"/>
          <w:sz w:val="24"/>
          <w:highlight w:val="none"/>
        </w:rPr>
        <w:t>1.</w:t>
      </w:r>
    </w:p>
    <w:p w14:paraId="727981A5">
      <w:pPr>
        <w:pStyle w:val="7"/>
        <w:widowControl w:val="0"/>
        <w:spacing w:line="480" w:lineRule="auto"/>
        <w:ind w:left="522" w:right="102"/>
        <w:rPr>
          <w:rFonts w:ascii="宋体" w:hAnsi="宋体" w:cs="宋体"/>
          <w:i w:val="0"/>
          <w:iCs w:val="0"/>
          <w:color w:val="auto"/>
          <w:sz w:val="24"/>
          <w:highlight w:val="none"/>
        </w:rPr>
      </w:pPr>
      <w:r>
        <w:rPr>
          <w:rFonts w:hint="eastAsia" w:ascii="宋体" w:hAnsi="宋体" w:cs="宋体"/>
          <w:i w:val="0"/>
          <w:iCs w:val="0"/>
          <w:color w:val="auto"/>
          <w:sz w:val="24"/>
          <w:highlight w:val="none"/>
        </w:rPr>
        <w:t>2.</w:t>
      </w:r>
    </w:p>
    <w:p w14:paraId="5D42B036">
      <w:pPr>
        <w:pStyle w:val="7"/>
        <w:widowControl w:val="0"/>
        <w:spacing w:line="480" w:lineRule="auto"/>
        <w:ind w:left="522" w:right="102"/>
        <w:rPr>
          <w:rFonts w:ascii="宋体" w:hAnsi="宋体" w:cs="宋体"/>
          <w:i w:val="0"/>
          <w:iCs w:val="0"/>
          <w:color w:val="auto"/>
          <w:sz w:val="24"/>
          <w:highlight w:val="none"/>
        </w:rPr>
      </w:pPr>
      <w:r>
        <w:rPr>
          <w:rFonts w:hint="eastAsia" w:ascii="宋体" w:hAnsi="宋体" w:cs="宋体"/>
          <w:i w:val="0"/>
          <w:iCs w:val="0"/>
          <w:color w:val="auto"/>
          <w:sz w:val="24"/>
          <w:highlight w:val="none"/>
        </w:rPr>
        <w:t>……</w:t>
      </w:r>
    </w:p>
    <w:p w14:paraId="112ACE80">
      <w:pPr>
        <w:pStyle w:val="7"/>
        <w:rPr>
          <w:rFonts w:ascii="宋体" w:hAnsi="宋体" w:cs="宋体"/>
          <w:i w:val="0"/>
          <w:iCs w:val="0"/>
          <w:color w:val="auto"/>
          <w:sz w:val="24"/>
          <w:highlight w:val="none"/>
        </w:rPr>
      </w:pPr>
    </w:p>
    <w:p w14:paraId="22D5D7AE">
      <w:pPr>
        <w:pStyle w:val="7"/>
        <w:rPr>
          <w:rFonts w:ascii="宋体" w:hAnsi="宋体" w:cs="宋体"/>
          <w:i w:val="0"/>
          <w:iCs w:val="0"/>
          <w:color w:val="auto"/>
          <w:sz w:val="24"/>
          <w:highlight w:val="none"/>
        </w:rPr>
      </w:pPr>
    </w:p>
    <w:p w14:paraId="0A6C8945">
      <w:pPr>
        <w:pStyle w:val="7"/>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上述问题澄清、说明或补正，不改变我方投标文件的实质性内容，构成我方投标文件的组成部分。</w:t>
      </w:r>
    </w:p>
    <w:p w14:paraId="18878289">
      <w:pPr>
        <w:pStyle w:val="7"/>
        <w:rPr>
          <w:rFonts w:ascii="宋体" w:hAnsi="宋体" w:cs="宋体"/>
          <w:i w:val="0"/>
          <w:iCs w:val="0"/>
          <w:color w:val="auto"/>
          <w:sz w:val="24"/>
          <w:highlight w:val="none"/>
        </w:rPr>
      </w:pPr>
    </w:p>
    <w:p w14:paraId="5D8660C7">
      <w:pPr>
        <w:pStyle w:val="7"/>
        <w:rPr>
          <w:rFonts w:ascii="宋体" w:hAnsi="宋体" w:cs="宋体"/>
          <w:i w:val="0"/>
          <w:iCs w:val="0"/>
          <w:color w:val="auto"/>
          <w:sz w:val="24"/>
          <w:highlight w:val="none"/>
        </w:rPr>
      </w:pPr>
    </w:p>
    <w:p w14:paraId="34DD347F">
      <w:pPr>
        <w:pStyle w:val="7"/>
        <w:tabs>
          <w:tab w:val="left" w:pos="7382"/>
        </w:tabs>
        <w:spacing w:line="480" w:lineRule="auto"/>
        <w:ind w:left="3043" w:right="102"/>
        <w:jc w:val="right"/>
        <w:rPr>
          <w:rFonts w:ascii="宋体" w:hAnsi="宋体" w:cs="宋体"/>
          <w:i w:val="0"/>
          <w:iCs w:val="0"/>
          <w:color w:val="auto"/>
          <w:sz w:val="24"/>
          <w:highlight w:val="none"/>
        </w:rPr>
      </w:pPr>
      <w:r>
        <w:rPr>
          <w:rFonts w:hint="eastAsia" w:ascii="宋体" w:hAnsi="宋体" w:cs="宋体"/>
          <w:i w:val="0"/>
          <w:iCs w:val="0"/>
          <w:color w:val="auto"/>
          <w:sz w:val="24"/>
          <w:highlight w:val="none"/>
        </w:rPr>
        <w:t>投标人：</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rPr>
        <w:t>（盖单位章）</w:t>
      </w:r>
    </w:p>
    <w:p w14:paraId="11AB2284">
      <w:pPr>
        <w:pStyle w:val="7"/>
        <w:tabs>
          <w:tab w:val="left" w:pos="7382"/>
        </w:tabs>
        <w:spacing w:line="480" w:lineRule="auto"/>
        <w:ind w:right="102" w:firstLine="1596" w:firstLineChars="700"/>
        <w:jc w:val="both"/>
        <w:rPr>
          <w:rFonts w:ascii="宋体" w:hAnsi="宋体" w:cs="宋体"/>
          <w:i w:val="0"/>
          <w:iCs w:val="0"/>
          <w:color w:val="auto"/>
          <w:sz w:val="24"/>
          <w:highlight w:val="none"/>
        </w:rPr>
      </w:pPr>
      <w:r>
        <w:rPr>
          <w:rFonts w:hint="eastAsia" w:ascii="宋体" w:hAnsi="宋体" w:cs="宋体"/>
          <w:i w:val="0"/>
          <w:iCs w:val="0"/>
          <w:color w:val="auto"/>
          <w:spacing w:val="-6"/>
          <w:sz w:val="24"/>
          <w:highlight w:val="none"/>
        </w:rPr>
        <w:t>法定代表人（单位负责人）或其委托代理人：</w:t>
      </w:r>
      <w:r>
        <w:rPr>
          <w:rFonts w:hint="eastAsia" w:ascii="宋体" w:hAnsi="宋体" w:cs="宋体"/>
          <w:i w:val="0"/>
          <w:iCs w:val="0"/>
          <w:color w:val="auto"/>
          <w:spacing w:val="-6"/>
          <w:sz w:val="24"/>
          <w:highlight w:val="none"/>
          <w:u w:val="single"/>
        </w:rPr>
        <w:t xml:space="preserve">               </w:t>
      </w:r>
      <w:r>
        <w:rPr>
          <w:rFonts w:hint="eastAsia" w:ascii="宋体" w:hAnsi="宋体" w:cs="宋体"/>
          <w:i w:val="0"/>
          <w:iCs w:val="0"/>
          <w:color w:val="auto"/>
          <w:sz w:val="24"/>
          <w:highlight w:val="none"/>
          <w:u w:val="single"/>
        </w:rPr>
        <w:t>（</w:t>
      </w:r>
      <w:r>
        <w:rPr>
          <w:rFonts w:hint="eastAsia" w:ascii="宋体" w:hAnsi="宋体" w:cs="宋体"/>
          <w:i w:val="0"/>
          <w:iCs w:val="0"/>
          <w:color w:val="auto"/>
          <w:sz w:val="24"/>
          <w:highlight w:val="none"/>
        </w:rPr>
        <w:t>签字或盖章）</w:t>
      </w:r>
    </w:p>
    <w:p w14:paraId="09D4D147">
      <w:pPr>
        <w:pStyle w:val="7"/>
        <w:tabs>
          <w:tab w:val="left" w:pos="6434"/>
          <w:tab w:val="left" w:pos="7483"/>
          <w:tab w:val="left" w:pos="8533"/>
        </w:tabs>
        <w:spacing w:line="480" w:lineRule="auto"/>
        <w:ind w:left="5595" w:right="26"/>
        <w:jc w:val="right"/>
        <w:rPr>
          <w:rFonts w:ascii="宋体" w:hAnsi="宋体" w:cs="宋体"/>
          <w:i w:val="0"/>
          <w:iCs w:val="0"/>
          <w:color w:val="auto"/>
          <w:sz w:val="24"/>
          <w:highlight w:val="none"/>
        </w:rPr>
      </w:pPr>
      <w:r>
        <w:rPr>
          <w:rFonts w:hint="eastAsia" w:ascii="宋体" w:hAnsi="宋体" w:cs="宋体"/>
          <w:i w:val="0"/>
          <w:iCs w:val="0"/>
          <w:color w:val="auto"/>
          <w:sz w:val="24"/>
          <w:highlight w:val="none"/>
          <w:u w:val="single"/>
        </w:rPr>
        <w:tab/>
      </w:r>
      <w:r>
        <w:rPr>
          <w:rFonts w:hint="eastAsia" w:ascii="宋体" w:hAnsi="宋体" w:cs="宋体"/>
          <w:i w:val="0"/>
          <w:iCs w:val="0"/>
          <w:color w:val="auto"/>
          <w:spacing w:val="-3"/>
          <w:sz w:val="24"/>
          <w:highlight w:val="none"/>
        </w:rPr>
        <w:t>年</w:t>
      </w:r>
      <w:r>
        <w:rPr>
          <w:rFonts w:hint="eastAsia" w:ascii="宋体" w:hAnsi="宋体" w:cs="宋体"/>
          <w:i w:val="0"/>
          <w:iCs w:val="0"/>
          <w:color w:val="auto"/>
          <w:spacing w:val="-3"/>
          <w:sz w:val="24"/>
          <w:highlight w:val="none"/>
          <w:u w:val="single"/>
        </w:rPr>
        <w:tab/>
      </w:r>
      <w:r>
        <w:rPr>
          <w:rFonts w:hint="eastAsia" w:ascii="宋体" w:hAnsi="宋体" w:cs="宋体"/>
          <w:i w:val="0"/>
          <w:iCs w:val="0"/>
          <w:color w:val="auto"/>
          <w:sz w:val="24"/>
          <w:highlight w:val="none"/>
        </w:rPr>
        <w:t>月</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rPr>
        <w:t>日</w:t>
      </w:r>
    </w:p>
    <w:p w14:paraId="5658F335">
      <w:pPr>
        <w:jc w:val="right"/>
        <w:rPr>
          <w:rFonts w:ascii="宋体" w:hAnsi="宋体" w:cs="宋体"/>
          <w:i w:val="0"/>
          <w:iCs w:val="0"/>
          <w:color w:val="auto"/>
          <w:highlight w:val="none"/>
        </w:rPr>
        <w:sectPr>
          <w:headerReference r:id="rId15" w:type="default"/>
          <w:type w:val="nextColumn"/>
          <w:pgSz w:w="11906" w:h="16838"/>
          <w:pgMar w:top="1304" w:right="1304" w:bottom="1304" w:left="1304" w:header="720" w:footer="720" w:gutter="0"/>
          <w:pgNumType w:fmt="decimal"/>
          <w:cols w:space="720" w:num="1"/>
          <w:docGrid w:linePitch="299" w:charSpace="0"/>
        </w:sectPr>
      </w:pPr>
    </w:p>
    <w:p w14:paraId="30A6237C">
      <w:pPr>
        <w:bidi w:val="0"/>
        <w:rPr>
          <w:rFonts w:hint="eastAsia"/>
          <w:lang w:val="en-US" w:eastAsia="zh-CN"/>
        </w:rPr>
      </w:pPr>
      <w:bookmarkStart w:id="219" w:name="_bookmark80"/>
      <w:bookmarkEnd w:id="219"/>
      <w:bookmarkStart w:id="220" w:name="_bookmark78"/>
      <w:bookmarkEnd w:id="220"/>
      <w:bookmarkStart w:id="221" w:name="_Toc6484900"/>
      <w:bookmarkStart w:id="222" w:name="_Toc1986"/>
      <w:bookmarkStart w:id="223" w:name="_Toc3043"/>
      <w:bookmarkStart w:id="224" w:name="_Toc6691"/>
      <w:bookmarkStart w:id="225" w:name="_Toc29137"/>
      <w:bookmarkStart w:id="226" w:name="_Toc6421868"/>
      <w:bookmarkStart w:id="227" w:name="_Toc6221722"/>
      <w:bookmarkStart w:id="228" w:name="_Toc23711"/>
      <w:bookmarkStart w:id="229" w:name="_Toc23079"/>
      <w:bookmarkStart w:id="230" w:name="_Toc29289"/>
      <w:r>
        <w:rPr>
          <w:rFonts w:hint="eastAsia"/>
          <w:lang w:val="en-US" w:eastAsia="zh-CN"/>
        </w:rPr>
        <w:t>附件三：确认通知</w:t>
      </w:r>
      <w:bookmarkEnd w:id="221"/>
      <w:bookmarkEnd w:id="222"/>
      <w:bookmarkEnd w:id="223"/>
      <w:bookmarkEnd w:id="224"/>
      <w:bookmarkEnd w:id="225"/>
      <w:bookmarkEnd w:id="226"/>
      <w:bookmarkEnd w:id="227"/>
      <w:bookmarkEnd w:id="228"/>
      <w:bookmarkEnd w:id="229"/>
      <w:bookmarkEnd w:id="230"/>
    </w:p>
    <w:p w14:paraId="7FCA95AF">
      <w:pPr>
        <w:pStyle w:val="7"/>
        <w:rPr>
          <w:rFonts w:ascii="宋体" w:hAnsi="宋体" w:cs="宋体"/>
          <w:b/>
          <w:i w:val="0"/>
          <w:iCs w:val="0"/>
          <w:color w:val="auto"/>
          <w:sz w:val="20"/>
          <w:highlight w:val="none"/>
        </w:rPr>
      </w:pPr>
    </w:p>
    <w:p w14:paraId="57F2DF2D">
      <w:pPr>
        <w:pStyle w:val="7"/>
        <w:rPr>
          <w:rFonts w:ascii="宋体" w:hAnsi="宋体" w:cs="宋体"/>
          <w:b/>
          <w:i w:val="0"/>
          <w:iCs w:val="0"/>
          <w:color w:val="auto"/>
          <w:sz w:val="20"/>
          <w:highlight w:val="none"/>
        </w:rPr>
      </w:pPr>
    </w:p>
    <w:p w14:paraId="716121F7">
      <w:pPr>
        <w:ind w:right="17"/>
        <w:jc w:val="center"/>
        <w:rPr>
          <w:rFonts w:ascii="宋体" w:hAnsi="宋体" w:cs="宋体"/>
          <w:b/>
          <w:i w:val="0"/>
          <w:iCs w:val="0"/>
          <w:color w:val="auto"/>
          <w:sz w:val="28"/>
          <w:highlight w:val="none"/>
        </w:rPr>
      </w:pPr>
      <w:r>
        <w:rPr>
          <w:rFonts w:hint="eastAsia" w:ascii="宋体" w:hAnsi="宋体" w:cs="宋体"/>
          <w:b/>
          <w:i w:val="0"/>
          <w:iCs w:val="0"/>
          <w:color w:val="auto"/>
          <w:sz w:val="28"/>
          <w:highlight w:val="none"/>
        </w:rPr>
        <w:t>确认通知</w:t>
      </w:r>
    </w:p>
    <w:p w14:paraId="05CAA5BE">
      <w:pPr>
        <w:pStyle w:val="7"/>
        <w:rPr>
          <w:rFonts w:ascii="宋体" w:hAnsi="宋体" w:cs="宋体"/>
          <w:b/>
          <w:i w:val="0"/>
          <w:iCs w:val="0"/>
          <w:color w:val="auto"/>
          <w:sz w:val="41"/>
          <w:highlight w:val="none"/>
        </w:rPr>
      </w:pPr>
    </w:p>
    <w:p w14:paraId="484A3BCD">
      <w:pPr>
        <w:pStyle w:val="7"/>
        <w:tabs>
          <w:tab w:val="left" w:pos="2305"/>
        </w:tabs>
        <w:ind w:left="100" w:right="102"/>
        <w:rPr>
          <w:rFonts w:ascii="宋体" w:hAnsi="宋体" w:cs="宋体"/>
          <w:i w:val="0"/>
          <w:iCs w:val="0"/>
          <w:color w:val="auto"/>
          <w:sz w:val="24"/>
          <w:highlight w:val="none"/>
        </w:rPr>
      </w:pPr>
      <w:r>
        <w:rPr>
          <w:rFonts w:hint="eastAsia" w:ascii="宋体" w:hAnsi="宋体" w:cs="宋体"/>
          <w:i w:val="0"/>
          <w:iCs w:val="0"/>
          <w:color w:val="auto"/>
          <w:sz w:val="24"/>
          <w:highlight w:val="none"/>
          <w:u w:val="single"/>
        </w:rPr>
        <w:tab/>
      </w:r>
      <w:r>
        <w:rPr>
          <w:rFonts w:hint="eastAsia" w:ascii="宋体" w:hAnsi="宋体" w:cs="宋体"/>
          <w:i w:val="0"/>
          <w:iCs w:val="0"/>
          <w:color w:val="auto"/>
          <w:spacing w:val="-3"/>
          <w:sz w:val="24"/>
          <w:highlight w:val="none"/>
        </w:rPr>
        <w:t>（</w:t>
      </w:r>
      <w:r>
        <w:rPr>
          <w:rFonts w:hint="eastAsia" w:ascii="宋体" w:hAnsi="宋体" w:cs="宋体"/>
          <w:i w:val="0"/>
          <w:iCs w:val="0"/>
          <w:color w:val="auto"/>
          <w:sz w:val="24"/>
          <w:highlight w:val="none"/>
        </w:rPr>
        <w:t>招标</w:t>
      </w:r>
      <w:r>
        <w:rPr>
          <w:rFonts w:hint="eastAsia" w:ascii="宋体" w:hAnsi="宋体" w:cs="宋体"/>
          <w:i w:val="0"/>
          <w:iCs w:val="0"/>
          <w:color w:val="auto"/>
          <w:spacing w:val="-3"/>
          <w:sz w:val="24"/>
          <w:highlight w:val="none"/>
        </w:rPr>
        <w:t>人</w:t>
      </w:r>
      <w:r>
        <w:rPr>
          <w:rFonts w:hint="eastAsia" w:ascii="宋体" w:hAnsi="宋体" w:cs="宋体"/>
          <w:i w:val="0"/>
          <w:iCs w:val="0"/>
          <w:color w:val="auto"/>
          <w:sz w:val="24"/>
          <w:highlight w:val="none"/>
        </w:rPr>
        <w:t>名</w:t>
      </w:r>
      <w:r>
        <w:rPr>
          <w:rFonts w:hint="eastAsia" w:ascii="宋体" w:hAnsi="宋体" w:cs="宋体"/>
          <w:i w:val="0"/>
          <w:iCs w:val="0"/>
          <w:color w:val="auto"/>
          <w:spacing w:val="-3"/>
          <w:sz w:val="24"/>
          <w:highlight w:val="none"/>
        </w:rPr>
        <w:t>称）：</w:t>
      </w:r>
    </w:p>
    <w:p w14:paraId="2B325F27">
      <w:pPr>
        <w:pStyle w:val="7"/>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你方于</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年</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rPr>
        <w:t>月</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日发出的</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（项目名称）关于</w:t>
      </w:r>
      <w:r>
        <w:rPr>
          <w:rFonts w:hint="eastAsia" w:ascii="宋体" w:hAnsi="宋体" w:cs="宋体"/>
          <w:i w:val="0"/>
          <w:iCs w:val="0"/>
          <w:color w:val="auto"/>
          <w:sz w:val="24"/>
          <w:highlight w:val="none"/>
          <w:lang w:eastAsia="zh-CN"/>
        </w:rPr>
        <w:t>招标文件</w:t>
      </w:r>
      <w:r>
        <w:rPr>
          <w:rFonts w:hint="eastAsia" w:ascii="宋体" w:hAnsi="宋体" w:cs="宋体"/>
          <w:i w:val="0"/>
          <w:iCs w:val="0"/>
          <w:color w:val="auto"/>
          <w:sz w:val="24"/>
          <w:highlight w:val="none"/>
        </w:rPr>
        <w:t>的澄清/修改的通知，我方已于</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年</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月</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日收到。</w:t>
      </w:r>
    </w:p>
    <w:p w14:paraId="009FF7AF">
      <w:pPr>
        <w:pStyle w:val="7"/>
        <w:rPr>
          <w:rFonts w:ascii="宋体" w:hAnsi="宋体" w:cs="宋体"/>
          <w:i w:val="0"/>
          <w:iCs w:val="0"/>
          <w:color w:val="auto"/>
          <w:sz w:val="24"/>
          <w:highlight w:val="none"/>
        </w:rPr>
      </w:pPr>
    </w:p>
    <w:p w14:paraId="389ADB68">
      <w:pPr>
        <w:pStyle w:val="7"/>
        <w:ind w:left="522" w:right="102"/>
        <w:rPr>
          <w:rFonts w:ascii="宋体" w:hAnsi="宋体" w:cs="宋体"/>
          <w:i w:val="0"/>
          <w:iCs w:val="0"/>
          <w:color w:val="auto"/>
          <w:sz w:val="24"/>
          <w:highlight w:val="none"/>
        </w:rPr>
      </w:pPr>
      <w:r>
        <w:rPr>
          <w:rFonts w:hint="eastAsia" w:ascii="宋体" w:hAnsi="宋体" w:cs="宋体"/>
          <w:i w:val="0"/>
          <w:iCs w:val="0"/>
          <w:color w:val="auto"/>
          <w:sz w:val="24"/>
          <w:highlight w:val="none"/>
        </w:rPr>
        <w:t>特此确认。</w:t>
      </w:r>
    </w:p>
    <w:p w14:paraId="1C05525F">
      <w:pPr>
        <w:pStyle w:val="7"/>
        <w:rPr>
          <w:rFonts w:ascii="宋体" w:hAnsi="宋体" w:cs="宋体"/>
          <w:i w:val="0"/>
          <w:iCs w:val="0"/>
          <w:color w:val="auto"/>
          <w:sz w:val="24"/>
          <w:highlight w:val="none"/>
        </w:rPr>
      </w:pPr>
    </w:p>
    <w:p w14:paraId="2CB6CD7E">
      <w:pPr>
        <w:pStyle w:val="7"/>
        <w:rPr>
          <w:rFonts w:ascii="宋体" w:hAnsi="宋体" w:cs="宋体"/>
          <w:i w:val="0"/>
          <w:iCs w:val="0"/>
          <w:color w:val="auto"/>
          <w:sz w:val="24"/>
          <w:highlight w:val="none"/>
        </w:rPr>
      </w:pPr>
    </w:p>
    <w:p w14:paraId="2C0FAC7C">
      <w:pPr>
        <w:pStyle w:val="7"/>
        <w:jc w:val="right"/>
        <w:rPr>
          <w:rFonts w:ascii="宋体" w:hAnsi="宋体" w:cs="宋体"/>
          <w:i w:val="0"/>
          <w:iCs w:val="0"/>
          <w:color w:val="auto"/>
          <w:sz w:val="24"/>
          <w:highlight w:val="none"/>
        </w:rPr>
      </w:pPr>
    </w:p>
    <w:p w14:paraId="10506D9E">
      <w:pPr>
        <w:pStyle w:val="7"/>
        <w:tabs>
          <w:tab w:val="left" w:pos="7382"/>
        </w:tabs>
        <w:spacing w:line="480" w:lineRule="auto"/>
        <w:ind w:left="3043" w:right="102"/>
        <w:jc w:val="right"/>
        <w:rPr>
          <w:rFonts w:ascii="宋体" w:hAnsi="宋体" w:cs="宋体"/>
          <w:i w:val="0"/>
          <w:iCs w:val="0"/>
          <w:color w:val="auto"/>
          <w:sz w:val="24"/>
          <w:highlight w:val="none"/>
        </w:rPr>
      </w:pPr>
      <w:r>
        <w:rPr>
          <w:rFonts w:hint="eastAsia" w:ascii="宋体" w:hAnsi="宋体" w:cs="宋体"/>
          <w:i w:val="0"/>
          <w:iCs w:val="0"/>
          <w:color w:val="auto"/>
          <w:sz w:val="24"/>
          <w:highlight w:val="none"/>
        </w:rPr>
        <w:t>投标人：</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rPr>
        <w:t>（盖单位章）</w:t>
      </w:r>
    </w:p>
    <w:p w14:paraId="2FFF831F">
      <w:pPr>
        <w:pStyle w:val="7"/>
        <w:tabs>
          <w:tab w:val="left" w:pos="7382"/>
        </w:tabs>
        <w:spacing w:line="480" w:lineRule="auto"/>
        <w:ind w:right="102" w:firstLine="1596" w:firstLineChars="700"/>
        <w:jc w:val="both"/>
        <w:rPr>
          <w:rFonts w:ascii="宋体" w:hAnsi="宋体" w:cs="宋体"/>
          <w:i w:val="0"/>
          <w:iCs w:val="0"/>
          <w:color w:val="auto"/>
          <w:sz w:val="24"/>
          <w:highlight w:val="none"/>
        </w:rPr>
      </w:pPr>
      <w:r>
        <w:rPr>
          <w:rFonts w:hint="eastAsia" w:ascii="宋体" w:hAnsi="宋体" w:cs="宋体"/>
          <w:i w:val="0"/>
          <w:iCs w:val="0"/>
          <w:color w:val="auto"/>
          <w:spacing w:val="-6"/>
          <w:sz w:val="24"/>
          <w:highlight w:val="none"/>
        </w:rPr>
        <w:t>法定代表人（单位负责人）或其委托代理人：</w:t>
      </w:r>
      <w:r>
        <w:rPr>
          <w:rFonts w:hint="eastAsia" w:ascii="宋体" w:hAnsi="宋体" w:cs="宋体"/>
          <w:i w:val="0"/>
          <w:iCs w:val="0"/>
          <w:color w:val="auto"/>
          <w:spacing w:val="-6"/>
          <w:sz w:val="24"/>
          <w:highlight w:val="none"/>
          <w:u w:val="single"/>
        </w:rPr>
        <w:t xml:space="preserve">               </w:t>
      </w:r>
      <w:r>
        <w:rPr>
          <w:rFonts w:hint="eastAsia" w:ascii="宋体" w:hAnsi="宋体" w:cs="宋体"/>
          <w:i w:val="0"/>
          <w:iCs w:val="0"/>
          <w:color w:val="auto"/>
          <w:sz w:val="24"/>
          <w:highlight w:val="none"/>
          <w:u w:val="single"/>
        </w:rPr>
        <w:t>（</w:t>
      </w:r>
      <w:r>
        <w:rPr>
          <w:rFonts w:hint="eastAsia" w:ascii="宋体" w:hAnsi="宋体" w:cs="宋体"/>
          <w:i w:val="0"/>
          <w:iCs w:val="0"/>
          <w:color w:val="auto"/>
          <w:sz w:val="24"/>
          <w:highlight w:val="none"/>
        </w:rPr>
        <w:t>签字或盖章）</w:t>
      </w:r>
    </w:p>
    <w:p w14:paraId="58DB43B8">
      <w:pPr>
        <w:pStyle w:val="7"/>
        <w:tabs>
          <w:tab w:val="left" w:pos="6434"/>
          <w:tab w:val="left" w:pos="7483"/>
          <w:tab w:val="left" w:pos="8533"/>
        </w:tabs>
        <w:spacing w:line="480" w:lineRule="auto"/>
        <w:ind w:left="5595" w:right="26"/>
        <w:jc w:val="right"/>
        <w:rPr>
          <w:rFonts w:ascii="宋体" w:hAnsi="宋体" w:cs="宋体"/>
          <w:i w:val="0"/>
          <w:iCs w:val="0"/>
          <w:color w:val="auto"/>
          <w:sz w:val="24"/>
          <w:highlight w:val="none"/>
        </w:rPr>
      </w:pPr>
      <w:r>
        <w:rPr>
          <w:rFonts w:hint="eastAsia" w:ascii="宋体" w:hAnsi="宋体" w:cs="宋体"/>
          <w:i w:val="0"/>
          <w:iCs w:val="0"/>
          <w:color w:val="auto"/>
          <w:sz w:val="24"/>
          <w:highlight w:val="none"/>
          <w:u w:val="single"/>
        </w:rPr>
        <w:tab/>
      </w:r>
      <w:r>
        <w:rPr>
          <w:rFonts w:hint="eastAsia" w:ascii="宋体" w:hAnsi="宋体" w:cs="宋体"/>
          <w:i w:val="0"/>
          <w:iCs w:val="0"/>
          <w:color w:val="auto"/>
          <w:spacing w:val="-3"/>
          <w:sz w:val="24"/>
          <w:highlight w:val="none"/>
        </w:rPr>
        <w:t>年</w:t>
      </w:r>
      <w:r>
        <w:rPr>
          <w:rFonts w:hint="eastAsia" w:ascii="宋体" w:hAnsi="宋体" w:cs="宋体"/>
          <w:i w:val="0"/>
          <w:iCs w:val="0"/>
          <w:color w:val="auto"/>
          <w:spacing w:val="-3"/>
          <w:sz w:val="24"/>
          <w:highlight w:val="none"/>
          <w:u w:val="single"/>
        </w:rPr>
        <w:tab/>
      </w:r>
      <w:r>
        <w:rPr>
          <w:rFonts w:hint="eastAsia" w:ascii="宋体" w:hAnsi="宋体" w:cs="宋体"/>
          <w:i w:val="0"/>
          <w:iCs w:val="0"/>
          <w:color w:val="auto"/>
          <w:sz w:val="24"/>
          <w:highlight w:val="none"/>
        </w:rPr>
        <w:t>月</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rPr>
        <w:t>日</w:t>
      </w:r>
    </w:p>
    <w:p w14:paraId="55A65051">
      <w:pPr>
        <w:spacing w:line="240" w:lineRule="exact"/>
        <w:rPr>
          <w:rFonts w:ascii="宋体" w:hAnsi="宋体" w:cs="宋体"/>
          <w:i w:val="0"/>
          <w:iCs w:val="0"/>
          <w:color w:val="auto"/>
          <w:highlight w:val="none"/>
        </w:rPr>
      </w:pPr>
    </w:p>
    <w:bookmarkEnd w:id="156"/>
    <w:p w14:paraId="760ACEF9">
      <w:pPr>
        <w:pStyle w:val="7"/>
        <w:jc w:val="right"/>
        <w:rPr>
          <w:rFonts w:ascii="宋体" w:hAnsi="宋体" w:cs="宋体"/>
          <w:i w:val="0"/>
          <w:iCs w:val="0"/>
          <w:color w:val="auto"/>
          <w:sz w:val="24"/>
          <w:highlight w:val="none"/>
        </w:rPr>
      </w:pPr>
      <w:bookmarkStart w:id="231" w:name="_Toc32052"/>
    </w:p>
    <w:p w14:paraId="28904CFF">
      <w:pPr>
        <w:pStyle w:val="7"/>
        <w:jc w:val="right"/>
        <w:rPr>
          <w:rFonts w:ascii="宋体" w:hAnsi="宋体" w:cs="宋体"/>
          <w:i w:val="0"/>
          <w:iCs w:val="0"/>
          <w:color w:val="auto"/>
          <w:sz w:val="24"/>
          <w:highlight w:val="none"/>
        </w:rPr>
      </w:pPr>
    </w:p>
    <w:p w14:paraId="20A8924F">
      <w:pPr>
        <w:pStyle w:val="7"/>
        <w:spacing w:before="6"/>
        <w:jc w:val="right"/>
        <w:rPr>
          <w:rFonts w:ascii="宋体" w:hAnsi="宋体" w:cs="宋体"/>
          <w:i w:val="0"/>
          <w:iCs w:val="0"/>
          <w:color w:val="auto"/>
          <w:sz w:val="24"/>
          <w:highlight w:val="none"/>
        </w:rPr>
      </w:pPr>
    </w:p>
    <w:p w14:paraId="56028DCC">
      <w:pPr>
        <w:spacing w:line="240" w:lineRule="exact"/>
        <w:rPr>
          <w:rFonts w:hint="eastAsia" w:ascii="宋体" w:hAnsi="宋体" w:cs="宋体"/>
          <w:i w:val="0"/>
          <w:iCs w:val="0"/>
          <w:color w:val="auto"/>
          <w:highlight w:val="none"/>
        </w:rPr>
      </w:pPr>
      <w:r>
        <w:rPr>
          <w:rFonts w:hint="eastAsia" w:ascii="宋体" w:hAnsi="宋体" w:cs="宋体"/>
          <w:i w:val="0"/>
          <w:iCs w:val="0"/>
          <w:color w:val="auto"/>
          <w:highlight w:val="none"/>
        </w:rPr>
        <w:br w:type="page"/>
      </w:r>
      <w:bookmarkEnd w:id="231"/>
      <w:bookmarkStart w:id="232" w:name="_Toc5266"/>
      <w:bookmarkStart w:id="233" w:name="_Toc3397765"/>
    </w:p>
    <w:p w14:paraId="43646F75">
      <w:pPr>
        <w:pStyle w:val="2"/>
        <w:spacing w:before="0" w:after="0" w:line="500" w:lineRule="exact"/>
        <w:jc w:val="center"/>
        <w:rPr>
          <w:rFonts w:ascii="宋体" w:hAnsi="宋体" w:cs="宋体"/>
          <w:i w:val="0"/>
          <w:iCs w:val="0"/>
          <w:color w:val="auto"/>
          <w:highlight w:val="none"/>
        </w:rPr>
      </w:pPr>
      <w:bookmarkStart w:id="234" w:name="_Toc18517"/>
      <w:r>
        <w:rPr>
          <w:rFonts w:hint="eastAsia" w:ascii="宋体" w:hAnsi="宋体" w:cs="宋体"/>
          <w:i w:val="0"/>
          <w:iCs w:val="0"/>
          <w:color w:val="auto"/>
          <w:highlight w:val="none"/>
        </w:rPr>
        <w:t>第三章 评标方法</w:t>
      </w:r>
      <w:bookmarkEnd w:id="232"/>
      <w:bookmarkEnd w:id="233"/>
      <w:r>
        <w:rPr>
          <w:rFonts w:hint="eastAsia" w:ascii="宋体" w:hAnsi="宋体" w:cs="宋体"/>
          <w:i w:val="0"/>
          <w:iCs w:val="0"/>
          <w:color w:val="auto"/>
          <w:highlight w:val="none"/>
        </w:rPr>
        <w:t>（综合评分法）</w:t>
      </w:r>
      <w:bookmarkEnd w:id="234"/>
    </w:p>
    <w:p w14:paraId="50DA2DBA">
      <w:pPr>
        <w:spacing w:line="500" w:lineRule="exact"/>
        <w:ind w:firstLine="482" w:firstLineChars="200"/>
        <w:jc w:val="both"/>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一、评标委员会</w:t>
      </w:r>
    </w:p>
    <w:p w14:paraId="27089424">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评标委员会的组成见投标人须知前附表6.1.1。</w:t>
      </w:r>
    </w:p>
    <w:p w14:paraId="0492B583">
      <w:pPr>
        <w:spacing w:line="500" w:lineRule="exact"/>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二、招标人或者招标代理机构职责</w:t>
      </w:r>
    </w:p>
    <w:p w14:paraId="40FBC061">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招标人或者招标代理机构负责组织评标工作，并履行下列职责：</w:t>
      </w:r>
    </w:p>
    <w:p w14:paraId="449CB900">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(一)核对评标专家身份和招标人代表授权函，对评标专家在招标活动中的职责履行情况予以记录，并及时将有关违法违规行为向有关部门报告。</w:t>
      </w:r>
    </w:p>
    <w:p w14:paraId="6C390C22">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(二)宣布评标纪律。</w:t>
      </w:r>
    </w:p>
    <w:p w14:paraId="0B7C0628">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(三)公布投标人名单，告知评标专家应当回避的情形。</w:t>
      </w:r>
    </w:p>
    <w:p w14:paraId="0D310D3C">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(四)组织评标委员会推选评标委员会主任，招标人代表不得担任评标委员会主任。</w:t>
      </w:r>
    </w:p>
    <w:p w14:paraId="4287DF8C">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(五)在评标期间采取必要的通讯管理措施，保证评标活动不受外界干扰。</w:t>
      </w:r>
    </w:p>
    <w:p w14:paraId="26C45C94">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(六)根据评标委员会的要求介绍招标相关政策法规、投标文件。</w:t>
      </w:r>
    </w:p>
    <w:p w14:paraId="021C79DE">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(七)维护评标秩序，监督评标委员会依照投标文件规定的评标程序、方法和标准进行独立评标，及时制止和纠正招标人代表、评标专家的倾向性言论或者违法违规行为。</w:t>
      </w:r>
    </w:p>
    <w:p w14:paraId="459A8837">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(八)核对评标结果，有不符合规定情形的，要求评标委员会复核或者书面说明理由，评标委员会拒绝的，应予记录。</w:t>
      </w:r>
    </w:p>
    <w:p w14:paraId="5B7CEF76">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(九)评标工作完成后，按照规定向评标专家支付劳务报酬和异地评标差旅费，不得向评标专家以外的其他人员支付评标劳务报酬。</w:t>
      </w:r>
    </w:p>
    <w:p w14:paraId="1C9CA007">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(十)处理与评标有关的其他事项。</w:t>
      </w:r>
    </w:p>
    <w:p w14:paraId="3F7F1251">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招标人可以在评标前说明项目背景和采购需求，说明内容不得含有歧视性、倾向性意见，不得超出投标文件所述范围。说明应当提交书面材料，并随</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一并存档。</w:t>
      </w:r>
    </w:p>
    <w:p w14:paraId="2AEE0573">
      <w:pPr>
        <w:spacing w:line="500" w:lineRule="exact"/>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三、评标委员会职责</w:t>
      </w:r>
    </w:p>
    <w:p w14:paraId="0742E385">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评标委员会负责具体评标事务，并独立履行下列职责：</w:t>
      </w:r>
    </w:p>
    <w:p w14:paraId="25C7E778">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(一)审查、评价投标文件是否符合投标文件的商务、技术等实质性要求。</w:t>
      </w:r>
    </w:p>
    <w:p w14:paraId="0942B2EA">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(二)要求投标人对投标文件有关事项作出澄清或者说明。</w:t>
      </w:r>
    </w:p>
    <w:p w14:paraId="5DA89283">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(三)对投标文件进行比较和评价。</w:t>
      </w:r>
    </w:p>
    <w:p w14:paraId="26458B58">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(四)确定中标候选人名单，以及根据招标人委托直接确定中标人。</w:t>
      </w:r>
    </w:p>
    <w:p w14:paraId="75070559">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(五)向招标人、招标代理机构或者有关部门报告评标中发现的违法行为。</w:t>
      </w:r>
    </w:p>
    <w:p w14:paraId="7FD8AFB4">
      <w:pPr>
        <w:pStyle w:val="20"/>
        <w:spacing w:line="500" w:lineRule="exact"/>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四、评标纪律</w:t>
      </w:r>
    </w:p>
    <w:p w14:paraId="7E1F2515">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(一)对评标内容和评标过程要严格保密，不得向投标人或与该过程无关的其它人员泄露。</w:t>
      </w:r>
    </w:p>
    <w:p w14:paraId="6628CAF1">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(二)评标期间的一切资料，包括评标意见、评标记录和评标结论，一律不得向外传和泄露。</w:t>
      </w:r>
    </w:p>
    <w:p w14:paraId="6F471241">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(三)任何属于投标文件审查、澄清、评价和比较的资料，不得向投标人或与该过程无关的其它人员泄露。</w:t>
      </w:r>
    </w:p>
    <w:p w14:paraId="1C996AE4">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(四)所有资料(包括投标文件、评标表格及各种文字记录)在评标结束后均应分别整理、存档备查，任何人不得复制和保留。</w:t>
      </w:r>
    </w:p>
    <w:p w14:paraId="04F08C54">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(五)评标期间，未经允许评标委员会以外的任何单位或部门不得参加评标和采访评标工作。</w:t>
      </w:r>
    </w:p>
    <w:p w14:paraId="72D7AAC9">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(六)评标期间，评标人员不得外出，确需外出时应事先请假。</w:t>
      </w:r>
    </w:p>
    <w:p w14:paraId="24066478">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(七)评标期间，所有与会人员均不得私自以任何方式和投标人进行联系，需询问、澄清的问题由评委会统一组织办理。</w:t>
      </w:r>
    </w:p>
    <w:p w14:paraId="07B67E38">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(八)评标结束后，与会人员不得向外界透露评标人员的评标意见，如因此造成的后果由责任者承担。</w:t>
      </w:r>
    </w:p>
    <w:p w14:paraId="0A903EDB">
      <w:pPr>
        <w:spacing w:line="500" w:lineRule="exact"/>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五、评标原则</w:t>
      </w:r>
    </w:p>
    <w:p w14:paraId="29D9AAAD">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评标将遵循下列原则：</w:t>
      </w:r>
    </w:p>
    <w:p w14:paraId="27A87A2B">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(一)坚持</w:t>
      </w:r>
      <w:r>
        <w:rPr>
          <w:rFonts w:hint="eastAsia" w:ascii="宋体" w:hAnsi="宋体" w:cs="宋体"/>
          <w:i w:val="0"/>
          <w:iCs w:val="0"/>
          <w:color w:val="auto"/>
          <w:sz w:val="24"/>
          <w:szCs w:val="24"/>
          <w:highlight w:val="none"/>
          <w:lang w:eastAsia="zh-CN"/>
        </w:rPr>
        <w:t>“质量优先、价格合理、阳光操作、严格监管”</w:t>
      </w:r>
      <w:r>
        <w:rPr>
          <w:rFonts w:hint="eastAsia" w:ascii="宋体" w:hAnsi="宋体" w:cs="宋体"/>
          <w:i w:val="0"/>
          <w:iCs w:val="0"/>
          <w:color w:val="auto"/>
          <w:sz w:val="24"/>
          <w:szCs w:val="24"/>
          <w:highlight w:val="none"/>
        </w:rPr>
        <w:t>的原则，本着实事求是的精神，不带有任何主观意愿和偏见，认真负责地做好评标工作，公平、公正地对待每一个投标人。</w:t>
      </w:r>
    </w:p>
    <w:p w14:paraId="745E8E59">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(二)全面分析，综合评标。</w:t>
      </w:r>
    </w:p>
    <w:p w14:paraId="32382D98">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(三)评标只对投标人的投标文件进行评标，投标文件以外的资料、信息不应作为评标的依据。</w:t>
      </w:r>
    </w:p>
    <w:p w14:paraId="1D694760">
      <w:pPr>
        <w:spacing w:line="500" w:lineRule="exact"/>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六、评标程序</w:t>
      </w:r>
    </w:p>
    <w:p w14:paraId="78BEDD0A">
      <w:pPr>
        <w:pStyle w:val="20"/>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本项目所采用的评标方法为 “综合评分法”，即：是指投标文件满足</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全部实质性要求且按评标因素的量化指标评标得分最高的投标人为中标候选人的评标方法。</w:t>
      </w:r>
    </w:p>
    <w:p w14:paraId="7D73B98E">
      <w:pPr>
        <w:pStyle w:val="20"/>
        <w:spacing w:line="500" w:lineRule="exact"/>
        <w:ind w:firstLine="480" w:firstLineChars="200"/>
        <w:rPr>
          <w:rFonts w:ascii="宋体" w:hAnsi="宋体" w:cs="宋体"/>
          <w:b/>
          <w:bCs/>
          <w:i w:val="0"/>
          <w:iCs w:val="0"/>
          <w:color w:val="auto"/>
          <w:sz w:val="24"/>
          <w:szCs w:val="24"/>
          <w:highlight w:val="none"/>
        </w:rPr>
      </w:pPr>
      <w:r>
        <w:rPr>
          <w:rFonts w:hint="eastAsia" w:ascii="宋体" w:hAnsi="宋体" w:cs="宋体"/>
          <w:i w:val="0"/>
          <w:iCs w:val="0"/>
          <w:color w:val="auto"/>
          <w:sz w:val="24"/>
          <w:szCs w:val="24"/>
          <w:highlight w:val="none"/>
        </w:rPr>
        <w:t>评标只对有效投标文件进行评审。评标按：资格审查</w:t>
      </w:r>
      <w:r>
        <w:rPr>
          <w:rFonts w:hint="eastAsia" w:ascii="宋体" w:hAnsi="宋体" w:cs="宋体"/>
          <w:i w:val="0"/>
          <w:iCs w:val="0"/>
          <w:color w:val="auto"/>
          <w:sz w:val="24"/>
          <w:szCs w:val="24"/>
          <w:highlight w:val="none"/>
        </w:rPr>
        <w:sym w:font="Symbol" w:char="F0AE"/>
      </w:r>
      <w:r>
        <w:rPr>
          <w:rFonts w:hint="eastAsia" w:ascii="宋体" w:hAnsi="宋体" w:cs="宋体"/>
          <w:i w:val="0"/>
          <w:iCs w:val="0"/>
          <w:color w:val="auto"/>
          <w:sz w:val="24"/>
          <w:szCs w:val="24"/>
          <w:highlight w:val="none"/>
        </w:rPr>
        <w:t>符合性审查</w:t>
      </w:r>
      <w:r>
        <w:rPr>
          <w:rFonts w:hint="eastAsia" w:ascii="宋体" w:hAnsi="宋体" w:cs="宋体"/>
          <w:i w:val="0"/>
          <w:iCs w:val="0"/>
          <w:color w:val="auto"/>
          <w:sz w:val="24"/>
          <w:szCs w:val="24"/>
          <w:highlight w:val="none"/>
        </w:rPr>
        <w:sym w:font="Symbol" w:char="F0AE"/>
      </w:r>
      <w:r>
        <w:rPr>
          <w:rFonts w:hint="eastAsia" w:ascii="宋体" w:hAnsi="宋体" w:cs="宋体"/>
          <w:i w:val="0"/>
          <w:iCs w:val="0"/>
          <w:color w:val="auto"/>
          <w:sz w:val="24"/>
          <w:szCs w:val="24"/>
          <w:highlight w:val="none"/>
        </w:rPr>
        <w:t>详细评审</w:t>
      </w:r>
      <w:r>
        <w:rPr>
          <w:rFonts w:hint="eastAsia" w:ascii="宋体" w:hAnsi="宋体" w:cs="宋体"/>
          <w:i w:val="0"/>
          <w:iCs w:val="0"/>
          <w:color w:val="auto"/>
          <w:sz w:val="24"/>
          <w:szCs w:val="24"/>
          <w:highlight w:val="none"/>
        </w:rPr>
        <w:sym w:font="Symbol" w:char="F0AE"/>
      </w:r>
      <w:r>
        <w:rPr>
          <w:rFonts w:hint="eastAsia" w:ascii="宋体" w:hAnsi="宋体" w:cs="宋体"/>
          <w:i w:val="0"/>
          <w:iCs w:val="0"/>
          <w:color w:val="auto"/>
          <w:sz w:val="24"/>
          <w:szCs w:val="24"/>
          <w:highlight w:val="none"/>
        </w:rPr>
        <w:t>评标报告的程序进行。</w:t>
      </w:r>
    </w:p>
    <w:p w14:paraId="741DC47E">
      <w:pPr>
        <w:pStyle w:val="20"/>
        <w:spacing w:line="500" w:lineRule="exact"/>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(一)资格审查</w:t>
      </w:r>
    </w:p>
    <w:p w14:paraId="49742FD4">
      <w:pPr>
        <w:pStyle w:val="20"/>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评标委员会对各投标人的投标文件进行资格审查，以确定其是否满足</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的实质性要求。</w:t>
      </w:r>
    </w:p>
    <w:p w14:paraId="7725EDEC">
      <w:pPr>
        <w:pStyle w:val="20"/>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满足下列情形的投标文件才能通过资格审查，未通过资格审查的投标人将不进入符合性审查：</w:t>
      </w:r>
    </w:p>
    <w:p w14:paraId="7072F1F7">
      <w:pPr>
        <w:pStyle w:val="7"/>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lang w:val="en-US" w:eastAsia="zh-CN"/>
        </w:rPr>
        <w:t>1.投标人应具有独立承担民事责任的能力，且在中华人民共和国境内依法注册的法人或其他组织，提供合法有效的营业执照或事业单位法人证书或其他行政机关颁发可以合法开展业务的法定证明文件</w:t>
      </w:r>
      <w:r>
        <w:rPr>
          <w:rFonts w:hint="eastAsia" w:ascii="宋体" w:hAnsi="宋体" w:cs="宋体"/>
          <w:i w:val="0"/>
          <w:iCs w:val="0"/>
          <w:color w:val="auto"/>
          <w:sz w:val="24"/>
          <w:highlight w:val="none"/>
        </w:rPr>
        <w:t>。</w:t>
      </w:r>
    </w:p>
    <w:p w14:paraId="02AB386F">
      <w:pPr>
        <w:pStyle w:val="7"/>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lang w:val="en-US" w:eastAsia="zh-CN"/>
        </w:rPr>
        <w:t>2.</w:t>
      </w:r>
      <w:r>
        <w:rPr>
          <w:rFonts w:hint="eastAsia" w:ascii="宋体" w:hAnsi="宋体" w:cs="宋体"/>
          <w:i w:val="0"/>
          <w:iCs w:val="0"/>
          <w:color w:val="auto"/>
          <w:sz w:val="24"/>
          <w:highlight w:val="none"/>
        </w:rPr>
        <w:t>投标人应具有良好的商业信誉和健全的财务会计制度，提供</w:t>
      </w:r>
      <w:r>
        <w:rPr>
          <w:rFonts w:hint="eastAsia" w:ascii="宋体" w:hAnsi="宋体" w:cs="宋体"/>
          <w:i w:val="0"/>
          <w:iCs w:val="0"/>
          <w:color w:val="auto"/>
          <w:sz w:val="24"/>
          <w:highlight w:val="none"/>
          <w:lang w:val="en-US" w:eastAsia="zh-CN"/>
        </w:rPr>
        <w:t>2023年度或2024年</w:t>
      </w:r>
      <w:r>
        <w:rPr>
          <w:rFonts w:hint="eastAsia" w:ascii="宋体" w:hAnsi="宋体" w:cs="宋体"/>
          <w:i w:val="0"/>
          <w:iCs w:val="0"/>
          <w:color w:val="auto"/>
          <w:sz w:val="24"/>
          <w:highlight w:val="none"/>
        </w:rPr>
        <w:t>度经第三方审计的审计报告及财务报表（包括资产负债表、损益表或利润表、现金流量表，复印件或扫描件），新成立的，提供自行编制的财务报表（包括资产负债表、损益表或利润表、现金流量表）。</w:t>
      </w:r>
    </w:p>
    <w:p w14:paraId="023EFFC2">
      <w:pPr>
        <w:pStyle w:val="7"/>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lang w:val="en-US" w:eastAsia="zh-CN"/>
        </w:rPr>
        <w:t>3.</w:t>
      </w:r>
      <w:r>
        <w:rPr>
          <w:rFonts w:hint="eastAsia" w:ascii="宋体" w:hAnsi="宋体" w:cs="宋体"/>
          <w:i w:val="0"/>
          <w:iCs w:val="0"/>
          <w:color w:val="auto"/>
          <w:sz w:val="24"/>
          <w:highlight w:val="none"/>
        </w:rPr>
        <w:t>具有依法缴纳税收和社会保障资金的良好记录，提供</w:t>
      </w:r>
      <w:r>
        <w:rPr>
          <w:rFonts w:hint="eastAsia" w:ascii="宋体" w:hAnsi="宋体" w:cs="宋体"/>
          <w:i w:val="0"/>
          <w:iCs w:val="0"/>
          <w:color w:val="auto"/>
          <w:sz w:val="24"/>
          <w:highlight w:val="none"/>
          <w:lang w:eastAsia="zh-CN"/>
        </w:rPr>
        <w:t>202</w:t>
      </w:r>
      <w:r>
        <w:rPr>
          <w:rFonts w:hint="eastAsia" w:ascii="宋体" w:hAnsi="宋体" w:cs="宋体"/>
          <w:i w:val="0"/>
          <w:iCs w:val="0"/>
          <w:color w:val="auto"/>
          <w:sz w:val="24"/>
          <w:highlight w:val="none"/>
          <w:lang w:val="en-US" w:eastAsia="zh-CN"/>
        </w:rPr>
        <w:t>5</w:t>
      </w:r>
      <w:r>
        <w:rPr>
          <w:rFonts w:hint="eastAsia" w:ascii="宋体" w:hAnsi="宋体" w:cs="宋体"/>
          <w:i w:val="0"/>
          <w:iCs w:val="0"/>
          <w:color w:val="auto"/>
          <w:sz w:val="24"/>
          <w:highlight w:val="none"/>
          <w:lang w:eastAsia="zh-CN"/>
        </w:rPr>
        <w:t>年1月至今</w:t>
      </w:r>
      <w:r>
        <w:rPr>
          <w:rFonts w:hint="eastAsia" w:ascii="宋体" w:hAnsi="宋体" w:cs="宋体"/>
          <w:i w:val="0"/>
          <w:iCs w:val="0"/>
          <w:color w:val="auto"/>
          <w:sz w:val="24"/>
          <w:highlight w:val="none"/>
        </w:rPr>
        <w:t>任意3个月依法缴纳税收和缴纳社会保障资金的证明材料(复印件或扫描件加盖公章，成立未满3个月的提供成立以来的税收和社会保障资金缴纳凭证或相关情况说明；依法免税或不需要缴纳社会保障资金的投标人，应提供相应文件证明其依法免税或不需要缴纳社会保障资金)。</w:t>
      </w:r>
    </w:p>
    <w:p w14:paraId="463DFCB3">
      <w:pPr>
        <w:pStyle w:val="7"/>
        <w:widowControl w:val="0"/>
        <w:ind w:firstLine="480" w:firstLineChars="200"/>
        <w:jc w:val="both"/>
        <w:rPr>
          <w:rFonts w:ascii="宋体" w:hAnsi="宋体" w:cs="宋体"/>
          <w:i w:val="0"/>
          <w:iCs w:val="0"/>
          <w:color w:val="auto"/>
          <w:sz w:val="24"/>
          <w:highlight w:val="none"/>
        </w:rPr>
      </w:pPr>
      <w:r>
        <w:rPr>
          <w:rFonts w:hint="eastAsia" w:ascii="宋体" w:hAnsi="宋体" w:cs="宋体"/>
          <w:i w:val="0"/>
          <w:iCs w:val="0"/>
          <w:color w:val="auto"/>
          <w:sz w:val="24"/>
          <w:highlight w:val="none"/>
          <w:lang w:val="en-US" w:eastAsia="zh-CN"/>
        </w:rPr>
        <w:t>4.</w:t>
      </w:r>
      <w:r>
        <w:rPr>
          <w:rFonts w:hint="eastAsia" w:ascii="宋体" w:hAnsi="宋体" w:cs="宋体"/>
          <w:i w:val="0"/>
          <w:iCs w:val="0"/>
          <w:color w:val="auto"/>
          <w:sz w:val="24"/>
          <w:highlight w:val="none"/>
        </w:rPr>
        <w:t>信誉要求：</w:t>
      </w:r>
    </w:p>
    <w:p w14:paraId="40521462">
      <w:pPr>
        <w:pStyle w:val="7"/>
        <w:widowControl w:val="0"/>
        <w:ind w:firstLine="480" w:firstLineChars="200"/>
        <w:jc w:val="both"/>
        <w:rPr>
          <w:rFonts w:ascii="宋体" w:hAnsi="宋体" w:cs="宋体"/>
          <w:i w:val="0"/>
          <w:iCs w:val="0"/>
          <w:color w:val="auto"/>
          <w:sz w:val="24"/>
          <w:highlight w:val="none"/>
        </w:rPr>
      </w:pPr>
      <w:r>
        <w:rPr>
          <w:rFonts w:hint="eastAsia" w:ascii="宋体" w:hAnsi="宋体" w:cs="宋体"/>
          <w:i w:val="0"/>
          <w:iCs w:val="0"/>
          <w:color w:val="auto"/>
          <w:sz w:val="24"/>
          <w:highlight w:val="none"/>
        </w:rPr>
        <w:t>（1）投标人未被列入“信用中国”网站(www.creditchina.gov.cn) “严重失信主体名单”“拖欠农民工工资失信联合惩戒对象名单”、 “重大税收违法失信主体”、“政府采购严重违法失信行为记录名单”。</w:t>
      </w:r>
    </w:p>
    <w:p w14:paraId="7115B0D4">
      <w:pPr>
        <w:pStyle w:val="7"/>
        <w:widowControl w:val="0"/>
        <w:ind w:firstLine="480" w:firstLineChars="200"/>
        <w:jc w:val="both"/>
        <w:rPr>
          <w:rFonts w:ascii="宋体" w:hAnsi="宋体" w:cs="宋体"/>
          <w:i w:val="0"/>
          <w:iCs w:val="0"/>
          <w:color w:val="auto"/>
          <w:sz w:val="24"/>
          <w:highlight w:val="none"/>
        </w:rPr>
      </w:pPr>
      <w:r>
        <w:rPr>
          <w:rFonts w:hint="eastAsia" w:ascii="宋体" w:hAnsi="宋体" w:cs="宋体"/>
          <w:i w:val="0"/>
          <w:iCs w:val="0"/>
          <w:color w:val="auto"/>
          <w:sz w:val="24"/>
          <w:highlight w:val="none"/>
        </w:rPr>
        <w:t>（2）投标人未被列入中国执行信息公开网（http://zxgk.court.gov.cn/）“失信被执行人名单”。（</w:t>
      </w:r>
      <w:r>
        <w:rPr>
          <w:rFonts w:ascii="宋体" w:hAnsi="宋体" w:cs="宋体"/>
          <w:i w:val="0"/>
          <w:iCs w:val="0"/>
          <w:color w:val="auto"/>
          <w:sz w:val="24"/>
          <w:highlight w:val="none"/>
        </w:rPr>
        <w:t>注：上述两项由</w:t>
      </w:r>
      <w:r>
        <w:rPr>
          <w:rFonts w:hint="eastAsia" w:ascii="宋体" w:hAnsi="宋体" w:cs="宋体"/>
          <w:i w:val="0"/>
          <w:iCs w:val="0"/>
          <w:color w:val="auto"/>
          <w:sz w:val="24"/>
          <w:highlight w:val="none"/>
          <w:lang w:eastAsia="zh-CN"/>
        </w:rPr>
        <w:t>采购人</w:t>
      </w:r>
      <w:r>
        <w:rPr>
          <w:rFonts w:ascii="宋体" w:hAnsi="宋体" w:cs="宋体"/>
          <w:i w:val="0"/>
          <w:iCs w:val="0"/>
          <w:color w:val="auto"/>
          <w:sz w:val="24"/>
          <w:highlight w:val="none"/>
        </w:rPr>
        <w:t>在开标当天登录相关网站查询并截图，交予评标委员会评审</w:t>
      </w:r>
      <w:r>
        <w:rPr>
          <w:rFonts w:hint="eastAsia" w:ascii="宋体" w:hAnsi="宋体" w:cs="宋体"/>
          <w:i w:val="0"/>
          <w:iCs w:val="0"/>
          <w:color w:val="auto"/>
          <w:sz w:val="24"/>
          <w:highlight w:val="none"/>
        </w:rPr>
        <w:t>。）；</w:t>
      </w:r>
    </w:p>
    <w:p w14:paraId="667C8970">
      <w:pPr>
        <w:pStyle w:val="7"/>
        <w:widowControl w:val="0"/>
        <w:ind w:firstLine="480" w:firstLineChars="200"/>
        <w:jc w:val="both"/>
        <w:rPr>
          <w:rFonts w:ascii="宋体" w:hAnsi="宋体" w:cs="宋体"/>
          <w:i w:val="0"/>
          <w:iCs w:val="0"/>
          <w:color w:val="auto"/>
          <w:sz w:val="24"/>
          <w:highlight w:val="none"/>
        </w:rPr>
      </w:pPr>
      <w:r>
        <w:rPr>
          <w:rFonts w:hint="eastAsia" w:ascii="宋体" w:hAnsi="宋体" w:cs="宋体"/>
          <w:i w:val="0"/>
          <w:iCs w:val="0"/>
          <w:color w:val="auto"/>
          <w:sz w:val="24"/>
          <w:highlight w:val="none"/>
          <w:lang w:val="en-US" w:eastAsia="zh-CN"/>
        </w:rPr>
        <w:t>5.</w:t>
      </w:r>
      <w:r>
        <w:rPr>
          <w:rFonts w:hint="eastAsia" w:ascii="宋体" w:hAnsi="宋体" w:cs="宋体"/>
          <w:i w:val="0"/>
          <w:iCs w:val="0"/>
          <w:color w:val="auto"/>
          <w:sz w:val="24"/>
          <w:highlight w:val="none"/>
        </w:rPr>
        <w:t>本次采购不接受联合体投标，且不得以任何形式转包、分包。</w:t>
      </w:r>
    </w:p>
    <w:p w14:paraId="4B89F39B">
      <w:pPr>
        <w:pStyle w:val="7"/>
        <w:widowControl w:val="0"/>
        <w:ind w:firstLine="480" w:firstLineChars="200"/>
        <w:jc w:val="both"/>
        <w:rPr>
          <w:rFonts w:hint="eastAsia" w:ascii="宋体" w:hAnsi="宋体" w:cs="宋体"/>
          <w:i w:val="0"/>
          <w:iCs w:val="0"/>
          <w:color w:val="auto"/>
          <w:sz w:val="24"/>
          <w:highlight w:val="none"/>
        </w:rPr>
      </w:pPr>
      <w:r>
        <w:rPr>
          <w:rFonts w:hint="eastAsia" w:ascii="宋体" w:hAnsi="宋体" w:cs="宋体"/>
          <w:i w:val="0"/>
          <w:iCs w:val="0"/>
          <w:color w:val="auto"/>
          <w:sz w:val="24"/>
          <w:highlight w:val="none"/>
          <w:lang w:val="en-US" w:eastAsia="zh-CN"/>
        </w:rPr>
        <w:t>6.</w:t>
      </w:r>
      <w:r>
        <w:rPr>
          <w:rFonts w:hint="eastAsia" w:ascii="宋体" w:hAnsi="宋体" w:cs="宋体"/>
          <w:i w:val="0"/>
          <w:iCs w:val="0"/>
          <w:color w:val="auto"/>
          <w:sz w:val="24"/>
          <w:highlight w:val="none"/>
        </w:rPr>
        <w:t>单位负责人为同一人或者存在控股、管理关系的不同投标人，不得参加同一合同项下的投标活动。</w:t>
      </w:r>
    </w:p>
    <w:p w14:paraId="499A0AB7">
      <w:pPr>
        <w:pStyle w:val="7"/>
        <w:spacing w:line="360" w:lineRule="auto"/>
        <w:ind w:firstLine="480" w:firstLineChars="200"/>
        <w:rPr>
          <w:rFonts w:hint="default" w:eastAsia="宋体"/>
          <w:highlight w:val="none"/>
          <w:lang w:val="en-US" w:eastAsia="zh-CN"/>
        </w:rPr>
      </w:pPr>
      <w:r>
        <w:rPr>
          <w:rFonts w:hint="eastAsia" w:ascii="宋体" w:hAnsi="宋体" w:eastAsia="宋体" w:cs="宋体"/>
          <w:i w:val="0"/>
          <w:iCs w:val="0"/>
          <w:color w:val="auto"/>
          <w:sz w:val="24"/>
          <w:highlight w:val="none"/>
          <w:lang w:val="en-US" w:eastAsia="zh-CN"/>
        </w:rPr>
        <w:t>7.其他资格要求：</w:t>
      </w:r>
      <w:r>
        <w:rPr>
          <w:rFonts w:hint="eastAsia" w:ascii="宋体" w:hAnsi="宋体" w:cs="宋体"/>
          <w:i w:val="0"/>
          <w:iCs w:val="0"/>
          <w:color w:val="auto"/>
          <w:sz w:val="24"/>
          <w:highlight w:val="none"/>
          <w:lang w:val="en-US" w:eastAsia="zh-CN"/>
        </w:rPr>
        <w:t>投标人如果是代理商或经销商，须提供医疗器械经营许可证/备案、所投产品制造商医疗器械生产许可证（制造商工商注册地在中华人民共和国境外的，不做此要求）、所投产品的医疗器械注册证及附件；投标人如果是制造商，须提供医疗器械生产许可证（制造商工商注册地在中华人民共和国境外的，不做此要求）、所投产品的医疗器械注册证及附件。医疗器械生产或经营许可证生产或经营范围须覆盖所投第二、三类医疗器械（扫描件加盖电子公章。根据中华人民共和国国务院令第739号《医疗器械监督管理条例》和国家药品监督管理局《医疗器械分类目录》的规定，在《医疗器械分类目录》内的产品必须按照《医疗器械监督管理条例》的要求提供，其他不在《医疗器械分类目录》内的不作强行要求）。（提供复印件加盖公章）。</w:t>
      </w:r>
    </w:p>
    <w:p w14:paraId="53ACA9BB">
      <w:pPr>
        <w:spacing w:line="460" w:lineRule="exact"/>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(二)符合性审查</w:t>
      </w:r>
    </w:p>
    <w:p w14:paraId="25C4ECE6">
      <w:pPr>
        <w:pStyle w:val="20"/>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评标委员会依据符合性评标标准对符合资格的投标人的投标文件进行符合性审查，有一项不符合评标标准的，评标委员会应当否决其投标。</w:t>
      </w:r>
    </w:p>
    <w:p w14:paraId="08C2E857">
      <w:pPr>
        <w:pStyle w:val="20"/>
        <w:ind w:firstLine="482" w:firstLineChars="200"/>
        <w:rPr>
          <w:rFonts w:ascii="宋体" w:hAnsi="宋体" w:cs="宋体"/>
          <w:i w:val="0"/>
          <w:iCs w:val="0"/>
          <w:color w:val="auto"/>
          <w:sz w:val="24"/>
          <w:szCs w:val="24"/>
          <w:highlight w:val="none"/>
        </w:rPr>
      </w:pPr>
      <w:r>
        <w:rPr>
          <w:rFonts w:hint="eastAsia" w:ascii="宋体" w:hAnsi="宋体" w:cs="宋体"/>
          <w:b/>
          <w:i w:val="0"/>
          <w:iCs w:val="0"/>
          <w:color w:val="auto"/>
          <w:sz w:val="24"/>
          <w:szCs w:val="24"/>
          <w:highlight w:val="none"/>
        </w:rPr>
        <w:t>符合性审查表</w:t>
      </w:r>
    </w:p>
    <w:tbl>
      <w:tblPr>
        <w:tblStyle w:val="47"/>
        <w:tblW w:w="95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5"/>
        <w:gridCol w:w="2437"/>
        <w:gridCol w:w="5482"/>
      </w:tblGrid>
      <w:tr w14:paraId="30D3F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tcPr>
          <w:p w14:paraId="40F8086E">
            <w:pPr>
              <w:pStyle w:val="20"/>
              <w:widowControl w:val="0"/>
              <w:ind w:firstLine="0"/>
              <w:jc w:val="center"/>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审查内容</w:t>
            </w:r>
          </w:p>
        </w:tc>
        <w:tc>
          <w:tcPr>
            <w:tcW w:w="2437" w:type="dxa"/>
          </w:tcPr>
          <w:p w14:paraId="27A651EE">
            <w:pPr>
              <w:pStyle w:val="20"/>
              <w:widowControl w:val="0"/>
              <w:ind w:firstLine="0"/>
              <w:jc w:val="center"/>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评标因素</w:t>
            </w:r>
          </w:p>
        </w:tc>
        <w:tc>
          <w:tcPr>
            <w:tcW w:w="5482" w:type="dxa"/>
          </w:tcPr>
          <w:p w14:paraId="1858434C">
            <w:pPr>
              <w:pStyle w:val="20"/>
              <w:widowControl w:val="0"/>
              <w:ind w:firstLine="0"/>
              <w:jc w:val="center"/>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评标标准</w:t>
            </w:r>
          </w:p>
        </w:tc>
      </w:tr>
      <w:tr w14:paraId="3CDFE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restart"/>
            <w:vAlign w:val="center"/>
          </w:tcPr>
          <w:p w14:paraId="648F8F8B">
            <w:pPr>
              <w:pStyle w:val="20"/>
              <w:widowControl w:val="0"/>
              <w:ind w:firstLine="0"/>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符合性评标标准</w:t>
            </w:r>
          </w:p>
        </w:tc>
        <w:tc>
          <w:tcPr>
            <w:tcW w:w="2437" w:type="dxa"/>
          </w:tcPr>
          <w:p w14:paraId="22E36659">
            <w:pPr>
              <w:pStyle w:val="20"/>
              <w:widowControl w:val="0"/>
              <w:ind w:firstLine="0"/>
              <w:jc w:val="center"/>
              <w:rPr>
                <w:rFonts w:ascii="宋体" w:hAnsi="宋体" w:cs="宋体"/>
                <w:i w:val="0"/>
                <w:iCs w:val="0"/>
                <w:color w:val="auto"/>
                <w:sz w:val="24"/>
                <w:szCs w:val="24"/>
                <w:highlight w:val="none"/>
              </w:rPr>
            </w:pPr>
            <w:r>
              <w:rPr>
                <w:rFonts w:hint="eastAsia" w:ascii="宋体" w:hAnsi="宋体" w:cs="宋体"/>
                <w:i w:val="0"/>
                <w:iCs w:val="0"/>
                <w:color w:val="auto"/>
                <w:kern w:val="2"/>
                <w:sz w:val="24"/>
                <w:szCs w:val="24"/>
                <w:highlight w:val="none"/>
              </w:rPr>
              <w:t>投标文件份数及其他要求</w:t>
            </w:r>
          </w:p>
        </w:tc>
        <w:tc>
          <w:tcPr>
            <w:tcW w:w="5482" w:type="dxa"/>
            <w:vAlign w:val="center"/>
          </w:tcPr>
          <w:p w14:paraId="628F3F7D">
            <w:pPr>
              <w:pStyle w:val="20"/>
              <w:widowControl w:val="0"/>
              <w:ind w:firstLine="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符合第二章“投标人须知前附表”第</w:t>
            </w:r>
            <w:r>
              <w:rPr>
                <w:rFonts w:hint="eastAsia" w:ascii="宋体" w:hAnsi="宋体" w:cs="宋体"/>
                <w:i w:val="0"/>
                <w:iCs w:val="0"/>
                <w:color w:val="auto"/>
                <w:kern w:val="2"/>
                <w:sz w:val="24"/>
                <w:szCs w:val="24"/>
                <w:highlight w:val="none"/>
              </w:rPr>
              <w:t>3.5.3(2)</w:t>
            </w:r>
            <w:r>
              <w:rPr>
                <w:rFonts w:hint="eastAsia" w:ascii="宋体" w:hAnsi="宋体" w:cs="宋体"/>
                <w:i w:val="0"/>
                <w:iCs w:val="0"/>
                <w:color w:val="auto"/>
                <w:sz w:val="24"/>
                <w:szCs w:val="24"/>
                <w:highlight w:val="none"/>
              </w:rPr>
              <w:t>款规定</w:t>
            </w:r>
          </w:p>
        </w:tc>
      </w:tr>
      <w:tr w14:paraId="455B0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continue"/>
            <w:vAlign w:val="center"/>
          </w:tcPr>
          <w:p w14:paraId="1A77CDE8">
            <w:pPr>
              <w:pStyle w:val="20"/>
              <w:widowControl w:val="0"/>
              <w:ind w:firstLine="0"/>
              <w:jc w:val="center"/>
              <w:rPr>
                <w:rFonts w:ascii="宋体" w:hAnsi="宋体" w:cs="宋体"/>
                <w:i w:val="0"/>
                <w:iCs w:val="0"/>
                <w:color w:val="auto"/>
                <w:sz w:val="24"/>
                <w:szCs w:val="24"/>
                <w:highlight w:val="none"/>
              </w:rPr>
            </w:pPr>
          </w:p>
        </w:tc>
        <w:tc>
          <w:tcPr>
            <w:tcW w:w="2437" w:type="dxa"/>
            <w:vAlign w:val="center"/>
          </w:tcPr>
          <w:p w14:paraId="43AEF903">
            <w:pPr>
              <w:pStyle w:val="20"/>
              <w:widowControl w:val="0"/>
              <w:ind w:firstLine="0"/>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投标文件格式</w:t>
            </w:r>
          </w:p>
        </w:tc>
        <w:tc>
          <w:tcPr>
            <w:tcW w:w="5482" w:type="dxa"/>
          </w:tcPr>
          <w:p w14:paraId="714D1C5D">
            <w:pPr>
              <w:pStyle w:val="20"/>
              <w:widowControl w:val="0"/>
              <w:ind w:firstLine="0"/>
              <w:rPr>
                <w:rFonts w:ascii="宋体" w:hAnsi="宋体" w:cs="宋体"/>
                <w:i w:val="0"/>
                <w:iCs w:val="0"/>
                <w:color w:val="auto"/>
                <w:sz w:val="24"/>
                <w:szCs w:val="24"/>
                <w:highlight w:val="none"/>
              </w:rPr>
            </w:pPr>
            <w:r>
              <w:rPr>
                <w:rFonts w:hint="eastAsia" w:ascii="宋体" w:hAnsi="宋体" w:cs="宋体"/>
                <w:i w:val="0"/>
                <w:iCs w:val="0"/>
                <w:color w:val="auto"/>
                <w:sz w:val="24"/>
                <w:highlight w:val="none"/>
              </w:rPr>
              <w:t>投标文件按</w:t>
            </w:r>
            <w:r>
              <w:rPr>
                <w:rFonts w:hint="eastAsia" w:ascii="宋体" w:hAnsi="宋体" w:cs="宋体"/>
                <w:i w:val="0"/>
                <w:iCs w:val="0"/>
                <w:color w:val="auto"/>
                <w:sz w:val="24"/>
                <w:szCs w:val="24"/>
                <w:highlight w:val="none"/>
              </w:rPr>
              <w:t>第六章“投标文件格式”</w:t>
            </w:r>
            <w:r>
              <w:rPr>
                <w:rFonts w:hint="eastAsia" w:ascii="宋体" w:hAnsi="宋体" w:cs="宋体"/>
                <w:i w:val="0"/>
                <w:iCs w:val="0"/>
                <w:color w:val="auto"/>
                <w:sz w:val="24"/>
                <w:highlight w:val="none"/>
              </w:rPr>
              <w:t>要求填写，内容完整且关键字迹清晰</w:t>
            </w:r>
          </w:p>
        </w:tc>
      </w:tr>
      <w:tr w14:paraId="1DB57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continue"/>
          </w:tcPr>
          <w:p w14:paraId="444003BB">
            <w:pPr>
              <w:pStyle w:val="20"/>
              <w:widowControl w:val="0"/>
              <w:ind w:firstLine="0"/>
              <w:jc w:val="center"/>
              <w:rPr>
                <w:rFonts w:ascii="宋体" w:hAnsi="宋体" w:cs="宋体"/>
                <w:i w:val="0"/>
                <w:iCs w:val="0"/>
                <w:color w:val="auto"/>
                <w:sz w:val="24"/>
                <w:szCs w:val="24"/>
                <w:highlight w:val="none"/>
              </w:rPr>
            </w:pPr>
          </w:p>
        </w:tc>
        <w:tc>
          <w:tcPr>
            <w:tcW w:w="2437" w:type="dxa"/>
            <w:vAlign w:val="center"/>
          </w:tcPr>
          <w:p w14:paraId="3744D16C">
            <w:pPr>
              <w:pStyle w:val="20"/>
              <w:widowControl w:val="0"/>
              <w:ind w:firstLine="0"/>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投标文件签署、盖章</w:t>
            </w:r>
          </w:p>
        </w:tc>
        <w:tc>
          <w:tcPr>
            <w:tcW w:w="5482" w:type="dxa"/>
          </w:tcPr>
          <w:p w14:paraId="70324D75">
            <w:pPr>
              <w:pStyle w:val="20"/>
              <w:widowControl w:val="0"/>
              <w:ind w:firstLine="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按第六章“投标文件格式”</w:t>
            </w:r>
            <w:r>
              <w:rPr>
                <w:rFonts w:hint="eastAsia" w:ascii="宋体" w:hAnsi="宋体" w:cs="宋体"/>
                <w:i w:val="0"/>
                <w:iCs w:val="0"/>
                <w:color w:val="auto"/>
                <w:sz w:val="24"/>
                <w:highlight w:val="none"/>
              </w:rPr>
              <w:t>要求在规定位置加盖单位公章</w:t>
            </w:r>
            <w:r>
              <w:rPr>
                <w:rFonts w:hint="eastAsia" w:ascii="宋体" w:hAnsi="宋体" w:cs="宋体"/>
                <w:i w:val="0"/>
                <w:iCs w:val="0"/>
                <w:color w:val="auto"/>
                <w:sz w:val="24"/>
                <w:szCs w:val="24"/>
                <w:highlight w:val="none"/>
              </w:rPr>
              <w:t>、签字</w:t>
            </w:r>
          </w:p>
        </w:tc>
      </w:tr>
      <w:tr w14:paraId="07168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595" w:type="dxa"/>
            <w:vMerge w:val="continue"/>
          </w:tcPr>
          <w:p w14:paraId="010397A4">
            <w:pPr>
              <w:pStyle w:val="20"/>
              <w:widowControl w:val="0"/>
              <w:ind w:firstLine="0"/>
              <w:jc w:val="both"/>
              <w:rPr>
                <w:rFonts w:ascii="宋体" w:hAnsi="宋体" w:cs="宋体"/>
                <w:i w:val="0"/>
                <w:iCs w:val="0"/>
                <w:color w:val="auto"/>
                <w:sz w:val="24"/>
                <w:szCs w:val="24"/>
                <w:highlight w:val="none"/>
              </w:rPr>
            </w:pPr>
          </w:p>
        </w:tc>
        <w:tc>
          <w:tcPr>
            <w:tcW w:w="2437" w:type="dxa"/>
          </w:tcPr>
          <w:p w14:paraId="4234C9EC">
            <w:pPr>
              <w:pStyle w:val="20"/>
              <w:widowControl w:val="0"/>
              <w:ind w:firstLine="0"/>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投标保证金</w:t>
            </w:r>
          </w:p>
        </w:tc>
        <w:tc>
          <w:tcPr>
            <w:tcW w:w="5482" w:type="dxa"/>
          </w:tcPr>
          <w:p w14:paraId="3EC24D1B">
            <w:pPr>
              <w:pStyle w:val="20"/>
              <w:widowControl w:val="0"/>
              <w:ind w:firstLine="0"/>
              <w:jc w:val="both"/>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符合第二章“投标人须知前附表”第3.4.1款规定</w:t>
            </w:r>
          </w:p>
        </w:tc>
      </w:tr>
      <w:tr w14:paraId="5390B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continue"/>
          </w:tcPr>
          <w:p w14:paraId="19C9A9FE">
            <w:pPr>
              <w:pStyle w:val="20"/>
              <w:widowControl w:val="0"/>
              <w:jc w:val="both"/>
              <w:rPr>
                <w:rFonts w:ascii="宋体" w:hAnsi="宋体" w:cs="宋体"/>
                <w:i w:val="0"/>
                <w:iCs w:val="0"/>
                <w:color w:val="auto"/>
                <w:sz w:val="24"/>
                <w:szCs w:val="24"/>
                <w:highlight w:val="none"/>
              </w:rPr>
            </w:pPr>
          </w:p>
        </w:tc>
        <w:tc>
          <w:tcPr>
            <w:tcW w:w="2437" w:type="dxa"/>
            <w:vAlign w:val="center"/>
          </w:tcPr>
          <w:p w14:paraId="34DBBDD3">
            <w:pPr>
              <w:pStyle w:val="20"/>
              <w:widowControl w:val="0"/>
              <w:ind w:firstLine="0"/>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投标报价</w:t>
            </w:r>
          </w:p>
        </w:tc>
        <w:tc>
          <w:tcPr>
            <w:tcW w:w="5482" w:type="dxa"/>
          </w:tcPr>
          <w:p w14:paraId="1288E2D1">
            <w:pPr>
              <w:pStyle w:val="20"/>
              <w:widowControl w:val="0"/>
              <w:ind w:firstLine="0"/>
              <w:jc w:val="both"/>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符合第二章“投标人须知”第3.2项规定和第二章“投标人须知前附表”第3.2.4款规定</w:t>
            </w:r>
          </w:p>
        </w:tc>
      </w:tr>
      <w:tr w14:paraId="6DB98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595" w:type="dxa"/>
            <w:vMerge w:val="continue"/>
          </w:tcPr>
          <w:p w14:paraId="36821E00">
            <w:pPr>
              <w:pStyle w:val="20"/>
              <w:widowControl w:val="0"/>
              <w:jc w:val="both"/>
              <w:rPr>
                <w:rFonts w:ascii="宋体" w:hAnsi="宋体" w:cs="宋体"/>
                <w:i w:val="0"/>
                <w:iCs w:val="0"/>
                <w:color w:val="auto"/>
                <w:sz w:val="24"/>
                <w:szCs w:val="24"/>
                <w:highlight w:val="none"/>
              </w:rPr>
            </w:pPr>
          </w:p>
        </w:tc>
        <w:tc>
          <w:tcPr>
            <w:tcW w:w="2437" w:type="dxa"/>
            <w:vAlign w:val="center"/>
          </w:tcPr>
          <w:p w14:paraId="101C58B5">
            <w:pPr>
              <w:pStyle w:val="20"/>
              <w:widowControl w:val="0"/>
              <w:ind w:firstLine="0"/>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投标有效期</w:t>
            </w:r>
          </w:p>
        </w:tc>
        <w:tc>
          <w:tcPr>
            <w:tcW w:w="5482" w:type="dxa"/>
          </w:tcPr>
          <w:p w14:paraId="2801EE6A">
            <w:pPr>
              <w:pStyle w:val="20"/>
              <w:widowControl w:val="0"/>
              <w:ind w:firstLine="0"/>
              <w:jc w:val="both"/>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符合第二章“投标人须知前附表”第3.3.1款规定</w:t>
            </w:r>
          </w:p>
        </w:tc>
      </w:tr>
      <w:tr w14:paraId="7A5E7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595" w:type="dxa"/>
            <w:vMerge w:val="continue"/>
          </w:tcPr>
          <w:p w14:paraId="22EC481D">
            <w:pPr>
              <w:pStyle w:val="20"/>
              <w:widowControl w:val="0"/>
              <w:jc w:val="both"/>
              <w:rPr>
                <w:rFonts w:ascii="宋体" w:hAnsi="宋体" w:cs="宋体"/>
                <w:i w:val="0"/>
                <w:iCs w:val="0"/>
                <w:color w:val="auto"/>
                <w:sz w:val="24"/>
                <w:szCs w:val="24"/>
                <w:highlight w:val="none"/>
              </w:rPr>
            </w:pPr>
          </w:p>
        </w:tc>
        <w:tc>
          <w:tcPr>
            <w:tcW w:w="2437" w:type="dxa"/>
          </w:tcPr>
          <w:p w14:paraId="1001A05B">
            <w:pPr>
              <w:pStyle w:val="20"/>
              <w:widowControl w:val="0"/>
              <w:ind w:firstLine="0"/>
              <w:jc w:val="center"/>
              <w:rPr>
                <w:rFonts w:hint="eastAsia" w:ascii="宋体" w:hAnsi="宋体" w:eastAsia="宋体" w:cs="宋体"/>
                <w:i w:val="0"/>
                <w:iCs w:val="0"/>
                <w:color w:val="auto"/>
                <w:sz w:val="24"/>
                <w:szCs w:val="24"/>
                <w:highlight w:val="none"/>
                <w:lang w:eastAsia="zh-CN"/>
              </w:rPr>
            </w:pPr>
            <w:r>
              <w:rPr>
                <w:rFonts w:hint="eastAsia" w:ascii="宋体" w:hAnsi="宋体" w:cs="宋体"/>
                <w:i w:val="0"/>
                <w:iCs w:val="0"/>
                <w:color w:val="auto"/>
                <w:sz w:val="24"/>
                <w:szCs w:val="24"/>
                <w:highlight w:val="none"/>
                <w:lang w:eastAsia="zh-CN"/>
              </w:rPr>
              <w:t>交货期</w:t>
            </w:r>
          </w:p>
        </w:tc>
        <w:tc>
          <w:tcPr>
            <w:tcW w:w="5482" w:type="dxa"/>
          </w:tcPr>
          <w:p w14:paraId="25FE030B">
            <w:pPr>
              <w:pStyle w:val="20"/>
              <w:widowControl w:val="0"/>
              <w:ind w:firstLine="0"/>
              <w:jc w:val="both"/>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符合第二章“投标人须知前附表”第1.3.2款规定</w:t>
            </w:r>
          </w:p>
        </w:tc>
      </w:tr>
      <w:tr w14:paraId="01AD7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continue"/>
          </w:tcPr>
          <w:p w14:paraId="3C92EE9A">
            <w:pPr>
              <w:pStyle w:val="20"/>
              <w:widowControl w:val="0"/>
              <w:jc w:val="both"/>
              <w:rPr>
                <w:rFonts w:ascii="宋体" w:hAnsi="宋体" w:cs="宋体"/>
                <w:i w:val="0"/>
                <w:iCs w:val="0"/>
                <w:color w:val="auto"/>
                <w:sz w:val="24"/>
                <w:szCs w:val="24"/>
                <w:highlight w:val="none"/>
              </w:rPr>
            </w:pPr>
          </w:p>
        </w:tc>
        <w:tc>
          <w:tcPr>
            <w:tcW w:w="2437" w:type="dxa"/>
          </w:tcPr>
          <w:p w14:paraId="05DBD4F1">
            <w:pPr>
              <w:pStyle w:val="20"/>
              <w:widowControl w:val="0"/>
              <w:ind w:firstLine="0"/>
              <w:jc w:val="center"/>
              <w:rPr>
                <w:rFonts w:hint="eastAsia" w:ascii="宋体" w:hAnsi="宋体" w:eastAsia="宋体" w:cs="宋体"/>
                <w:i w:val="0"/>
                <w:iCs w:val="0"/>
                <w:color w:val="auto"/>
                <w:sz w:val="24"/>
                <w:szCs w:val="24"/>
                <w:highlight w:val="none"/>
                <w:lang w:eastAsia="zh-CN"/>
              </w:rPr>
            </w:pPr>
            <w:r>
              <w:rPr>
                <w:rFonts w:hint="eastAsia" w:ascii="宋体" w:hAnsi="宋体" w:cs="宋体"/>
                <w:i w:val="0"/>
                <w:iCs w:val="0"/>
                <w:color w:val="auto"/>
                <w:kern w:val="2"/>
                <w:sz w:val="24"/>
                <w:szCs w:val="24"/>
                <w:highlight w:val="none"/>
                <w:lang w:eastAsia="zh-CN"/>
              </w:rPr>
              <w:t>交货地点</w:t>
            </w:r>
          </w:p>
        </w:tc>
        <w:tc>
          <w:tcPr>
            <w:tcW w:w="5482" w:type="dxa"/>
          </w:tcPr>
          <w:p w14:paraId="18438D84">
            <w:pPr>
              <w:pStyle w:val="20"/>
              <w:widowControl w:val="0"/>
              <w:ind w:firstLine="0"/>
              <w:jc w:val="both"/>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符合第二章“投标人须知前附表”第1.3.3款规定</w:t>
            </w:r>
          </w:p>
        </w:tc>
      </w:tr>
      <w:tr w14:paraId="73F28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continue"/>
          </w:tcPr>
          <w:p w14:paraId="6F00490D">
            <w:pPr>
              <w:pStyle w:val="20"/>
              <w:widowControl w:val="0"/>
              <w:jc w:val="both"/>
              <w:rPr>
                <w:rFonts w:ascii="宋体" w:hAnsi="宋体" w:cs="宋体"/>
                <w:i w:val="0"/>
                <w:iCs w:val="0"/>
                <w:color w:val="auto"/>
                <w:sz w:val="24"/>
                <w:szCs w:val="24"/>
                <w:highlight w:val="none"/>
              </w:rPr>
            </w:pPr>
          </w:p>
        </w:tc>
        <w:tc>
          <w:tcPr>
            <w:tcW w:w="2437" w:type="dxa"/>
          </w:tcPr>
          <w:p w14:paraId="0F5A6F6A">
            <w:pPr>
              <w:pStyle w:val="20"/>
              <w:widowControl w:val="0"/>
              <w:ind w:firstLine="0"/>
              <w:jc w:val="center"/>
              <w:rPr>
                <w:rFonts w:ascii="宋体" w:hAnsi="宋体" w:cs="宋体"/>
                <w:i w:val="0"/>
                <w:iCs w:val="0"/>
                <w:color w:val="auto"/>
                <w:sz w:val="24"/>
                <w:szCs w:val="24"/>
                <w:highlight w:val="none"/>
              </w:rPr>
            </w:pPr>
            <w:r>
              <w:rPr>
                <w:rFonts w:hint="eastAsia" w:ascii="宋体" w:hAnsi="宋体" w:cs="宋体"/>
                <w:i w:val="0"/>
                <w:iCs w:val="0"/>
                <w:color w:val="auto"/>
                <w:sz w:val="24"/>
                <w:highlight w:val="none"/>
              </w:rPr>
              <w:t>投标内容</w:t>
            </w:r>
          </w:p>
        </w:tc>
        <w:tc>
          <w:tcPr>
            <w:tcW w:w="5482" w:type="dxa"/>
          </w:tcPr>
          <w:p w14:paraId="7BCA7479">
            <w:pPr>
              <w:pStyle w:val="20"/>
              <w:widowControl w:val="0"/>
              <w:jc w:val="both"/>
              <w:rPr>
                <w:rFonts w:ascii="宋体" w:hAnsi="宋体" w:cs="宋体"/>
                <w:i w:val="0"/>
                <w:iCs w:val="0"/>
                <w:color w:val="auto"/>
                <w:sz w:val="24"/>
                <w:szCs w:val="24"/>
                <w:highlight w:val="none"/>
              </w:rPr>
            </w:pPr>
            <w:r>
              <w:rPr>
                <w:rFonts w:hint="eastAsia" w:ascii="宋体" w:hAnsi="宋体" w:cs="宋体"/>
                <w:i w:val="0"/>
                <w:iCs w:val="0"/>
                <w:color w:val="auto"/>
                <w:sz w:val="24"/>
                <w:highlight w:val="none"/>
              </w:rPr>
              <w:t>投标人提供的</w:t>
            </w:r>
            <w:r>
              <w:rPr>
                <w:rFonts w:hint="eastAsia" w:ascii="宋体" w:hAnsi="宋体" w:cs="宋体"/>
                <w:i w:val="0"/>
                <w:iCs w:val="0"/>
                <w:color w:val="auto"/>
                <w:sz w:val="24"/>
                <w:highlight w:val="none"/>
                <w:lang w:val="en-US" w:eastAsia="zh-CN"/>
              </w:rPr>
              <w:t>货物</w:t>
            </w:r>
            <w:r>
              <w:rPr>
                <w:rFonts w:hint="eastAsia" w:ascii="宋体" w:hAnsi="宋体" w:cs="宋体"/>
                <w:i w:val="0"/>
                <w:iCs w:val="0"/>
                <w:color w:val="auto"/>
                <w:sz w:val="24"/>
                <w:highlight w:val="none"/>
              </w:rPr>
              <w:t>无实质性遗漏</w:t>
            </w:r>
          </w:p>
        </w:tc>
      </w:tr>
      <w:tr w14:paraId="614FF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continue"/>
          </w:tcPr>
          <w:p w14:paraId="26C61F82">
            <w:pPr>
              <w:pStyle w:val="20"/>
              <w:widowControl w:val="0"/>
              <w:jc w:val="both"/>
              <w:rPr>
                <w:rFonts w:ascii="宋体" w:hAnsi="宋体" w:cs="宋体"/>
                <w:i w:val="0"/>
                <w:iCs w:val="0"/>
                <w:color w:val="auto"/>
                <w:sz w:val="24"/>
                <w:szCs w:val="24"/>
                <w:highlight w:val="none"/>
              </w:rPr>
            </w:pPr>
          </w:p>
        </w:tc>
        <w:tc>
          <w:tcPr>
            <w:tcW w:w="2437" w:type="dxa"/>
          </w:tcPr>
          <w:p w14:paraId="5F403315">
            <w:pPr>
              <w:pStyle w:val="20"/>
              <w:widowControl w:val="0"/>
              <w:ind w:firstLine="0"/>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不允许负偏离的实质性要求和条件</w:t>
            </w:r>
          </w:p>
        </w:tc>
        <w:tc>
          <w:tcPr>
            <w:tcW w:w="5482" w:type="dxa"/>
          </w:tcPr>
          <w:p w14:paraId="4CC348E7">
            <w:pPr>
              <w:widowControl w:val="0"/>
              <w:spacing w:line="380" w:lineRule="exact"/>
              <w:rPr>
                <w:rFonts w:ascii="宋体" w:hAnsi="宋体" w:cs="宋体"/>
                <w:i w:val="0"/>
                <w:iCs w:val="0"/>
                <w:color w:val="auto"/>
                <w:sz w:val="24"/>
                <w:highlight w:val="none"/>
              </w:rPr>
            </w:pPr>
            <w:r>
              <w:rPr>
                <w:rFonts w:hint="eastAsia" w:ascii="宋体" w:hAnsi="宋体" w:cs="宋体"/>
                <w:i w:val="0"/>
                <w:iCs w:val="0"/>
                <w:color w:val="auto"/>
                <w:sz w:val="24"/>
                <w:szCs w:val="24"/>
                <w:highlight w:val="none"/>
              </w:rPr>
              <w:t>符合第二章“投标人须知前附表”第</w:t>
            </w:r>
            <w:r>
              <w:rPr>
                <w:rFonts w:hint="eastAsia" w:ascii="宋体" w:hAnsi="宋体" w:cs="宋体"/>
                <w:i w:val="0"/>
                <w:iCs w:val="0"/>
                <w:color w:val="auto"/>
                <w:kern w:val="2"/>
                <w:sz w:val="24"/>
                <w:szCs w:val="24"/>
                <w:highlight w:val="none"/>
              </w:rPr>
              <w:t>1.10和3.5.2条款规定</w:t>
            </w:r>
          </w:p>
        </w:tc>
      </w:tr>
      <w:tr w14:paraId="7372F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continue"/>
          </w:tcPr>
          <w:p w14:paraId="154604AB">
            <w:pPr>
              <w:pStyle w:val="20"/>
              <w:widowControl w:val="0"/>
              <w:jc w:val="both"/>
              <w:rPr>
                <w:rFonts w:ascii="宋体" w:hAnsi="宋体" w:cs="宋体"/>
                <w:i w:val="0"/>
                <w:iCs w:val="0"/>
                <w:color w:val="auto"/>
                <w:sz w:val="24"/>
                <w:szCs w:val="24"/>
                <w:highlight w:val="none"/>
              </w:rPr>
            </w:pPr>
          </w:p>
        </w:tc>
        <w:tc>
          <w:tcPr>
            <w:tcW w:w="2437" w:type="dxa"/>
            <w:vAlign w:val="center"/>
          </w:tcPr>
          <w:p w14:paraId="34979C9D">
            <w:pPr>
              <w:pStyle w:val="20"/>
              <w:widowControl w:val="0"/>
              <w:ind w:firstLine="0"/>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法定代表人授权委托书</w:t>
            </w:r>
          </w:p>
        </w:tc>
        <w:tc>
          <w:tcPr>
            <w:tcW w:w="5482" w:type="dxa"/>
          </w:tcPr>
          <w:p w14:paraId="1709EE25">
            <w:pPr>
              <w:pStyle w:val="20"/>
              <w:widowControl w:val="0"/>
              <w:ind w:left="0" w:leftChars="0" w:firstLine="0" w:firstLineChars="0"/>
              <w:jc w:val="both"/>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法定代表人委托代理人投标的，应附法定代表人授权委托书原件</w:t>
            </w:r>
          </w:p>
        </w:tc>
      </w:tr>
      <w:tr w14:paraId="54CE0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continue"/>
          </w:tcPr>
          <w:p w14:paraId="46ECEAA7">
            <w:pPr>
              <w:pStyle w:val="20"/>
              <w:widowControl w:val="0"/>
              <w:jc w:val="both"/>
              <w:rPr>
                <w:rFonts w:ascii="宋体" w:hAnsi="宋体" w:cs="宋体"/>
                <w:b w:val="0"/>
                <w:bCs w:val="0"/>
                <w:i w:val="0"/>
                <w:iCs w:val="0"/>
                <w:color w:val="auto"/>
                <w:sz w:val="24"/>
                <w:szCs w:val="24"/>
                <w:highlight w:val="none"/>
              </w:rPr>
            </w:pPr>
          </w:p>
        </w:tc>
        <w:tc>
          <w:tcPr>
            <w:tcW w:w="2437" w:type="dxa"/>
            <w:vAlign w:val="center"/>
          </w:tcPr>
          <w:p w14:paraId="34A5888E">
            <w:pPr>
              <w:widowControl w:val="0"/>
              <w:tabs>
                <w:tab w:val="left" w:pos="1260"/>
                <w:tab w:val="left" w:pos="1620"/>
              </w:tabs>
              <w:adjustRightInd w:val="0"/>
              <w:snapToGrid w:val="0"/>
              <w:jc w:val="center"/>
              <w:textAlignment w:val="baseline"/>
              <w:rPr>
                <w:rFonts w:ascii="宋体" w:hAnsi="宋体" w:cs="宋体"/>
                <w:b w:val="0"/>
                <w:bCs w:val="0"/>
                <w:i w:val="0"/>
                <w:iCs w:val="0"/>
                <w:color w:val="auto"/>
                <w:sz w:val="24"/>
                <w:szCs w:val="24"/>
                <w:highlight w:val="none"/>
              </w:rPr>
            </w:pPr>
            <w:r>
              <w:rPr>
                <w:rFonts w:hint="eastAsia" w:ascii="宋体" w:hAnsi="宋体" w:cs="宋体"/>
                <w:b w:val="0"/>
                <w:bCs w:val="0"/>
                <w:i w:val="0"/>
                <w:iCs w:val="0"/>
                <w:color w:val="auto"/>
                <w:sz w:val="24"/>
                <w:highlight w:val="none"/>
              </w:rPr>
              <w:t>其他无效情形</w:t>
            </w:r>
          </w:p>
        </w:tc>
        <w:tc>
          <w:tcPr>
            <w:tcW w:w="5482" w:type="dxa"/>
            <w:vAlign w:val="center"/>
          </w:tcPr>
          <w:p w14:paraId="37F34646">
            <w:pPr>
              <w:pStyle w:val="20"/>
              <w:widowControl w:val="0"/>
              <w:autoSpaceDE w:val="0"/>
              <w:ind w:left="0" w:leftChars="0" w:firstLine="0" w:firstLineChars="0"/>
              <w:jc w:val="both"/>
              <w:rPr>
                <w:rFonts w:ascii="宋体" w:hAnsi="宋体" w:cs="宋体"/>
                <w:b w:val="0"/>
                <w:bCs w:val="0"/>
                <w:i w:val="0"/>
                <w:iCs w:val="0"/>
                <w:color w:val="auto"/>
                <w:sz w:val="24"/>
                <w:szCs w:val="24"/>
                <w:highlight w:val="none"/>
              </w:rPr>
            </w:pPr>
            <w:r>
              <w:rPr>
                <w:rFonts w:hint="eastAsia" w:ascii="宋体" w:hAnsi="宋体" w:cs="宋体"/>
                <w:b w:val="0"/>
                <w:bCs w:val="0"/>
                <w:i w:val="0"/>
                <w:iCs w:val="0"/>
                <w:color w:val="auto"/>
                <w:sz w:val="24"/>
                <w:szCs w:val="24"/>
                <w:highlight w:val="none"/>
              </w:rPr>
              <w:t>(1)不同投标人的投标文件由同一单位或者个人编制；</w:t>
            </w:r>
          </w:p>
          <w:p w14:paraId="53D43C04">
            <w:pPr>
              <w:pStyle w:val="20"/>
              <w:widowControl w:val="0"/>
              <w:autoSpaceDE w:val="0"/>
              <w:ind w:left="0" w:leftChars="0" w:firstLine="0" w:firstLineChars="0"/>
              <w:jc w:val="both"/>
              <w:rPr>
                <w:rFonts w:ascii="宋体" w:hAnsi="宋体" w:cs="宋体"/>
                <w:b w:val="0"/>
                <w:bCs w:val="0"/>
                <w:i w:val="0"/>
                <w:iCs w:val="0"/>
                <w:color w:val="auto"/>
                <w:sz w:val="24"/>
                <w:szCs w:val="24"/>
                <w:highlight w:val="none"/>
              </w:rPr>
            </w:pPr>
            <w:r>
              <w:rPr>
                <w:rFonts w:hint="eastAsia" w:ascii="宋体" w:hAnsi="宋体" w:cs="宋体"/>
                <w:b w:val="0"/>
                <w:bCs w:val="0"/>
                <w:i w:val="0"/>
                <w:iCs w:val="0"/>
                <w:color w:val="auto"/>
                <w:sz w:val="24"/>
                <w:szCs w:val="24"/>
                <w:highlight w:val="none"/>
              </w:rPr>
              <w:t>(2)不同投标人委托同一单位或者个人办理投标事宜；</w:t>
            </w:r>
          </w:p>
          <w:p w14:paraId="61B54E47">
            <w:pPr>
              <w:pStyle w:val="20"/>
              <w:widowControl w:val="0"/>
              <w:autoSpaceDE w:val="0"/>
              <w:ind w:left="0" w:leftChars="0" w:firstLine="0" w:firstLineChars="0"/>
              <w:jc w:val="both"/>
              <w:rPr>
                <w:rFonts w:ascii="宋体" w:hAnsi="宋体" w:cs="宋体"/>
                <w:b w:val="0"/>
                <w:bCs w:val="0"/>
                <w:i w:val="0"/>
                <w:iCs w:val="0"/>
                <w:color w:val="auto"/>
                <w:sz w:val="24"/>
                <w:szCs w:val="24"/>
                <w:highlight w:val="none"/>
              </w:rPr>
            </w:pPr>
            <w:r>
              <w:rPr>
                <w:rFonts w:hint="eastAsia" w:ascii="宋体" w:hAnsi="宋体" w:cs="宋体"/>
                <w:b w:val="0"/>
                <w:bCs w:val="0"/>
                <w:i w:val="0"/>
                <w:iCs w:val="0"/>
                <w:color w:val="auto"/>
                <w:sz w:val="24"/>
                <w:szCs w:val="24"/>
                <w:highlight w:val="none"/>
              </w:rPr>
              <w:t>(3)不同投标人的投标文件载明的项目管理成员或者联系人员为同一人；</w:t>
            </w:r>
          </w:p>
          <w:p w14:paraId="3E09065F">
            <w:pPr>
              <w:pStyle w:val="20"/>
              <w:widowControl w:val="0"/>
              <w:autoSpaceDE w:val="0"/>
              <w:ind w:left="0" w:leftChars="0" w:firstLine="0" w:firstLineChars="0"/>
              <w:jc w:val="both"/>
              <w:rPr>
                <w:rFonts w:ascii="宋体" w:hAnsi="宋体" w:cs="宋体"/>
                <w:b w:val="0"/>
                <w:bCs w:val="0"/>
                <w:i w:val="0"/>
                <w:iCs w:val="0"/>
                <w:color w:val="auto"/>
                <w:sz w:val="24"/>
                <w:szCs w:val="24"/>
                <w:highlight w:val="none"/>
              </w:rPr>
            </w:pPr>
            <w:r>
              <w:rPr>
                <w:rFonts w:hint="eastAsia" w:ascii="宋体" w:hAnsi="宋体" w:cs="宋体"/>
                <w:b w:val="0"/>
                <w:bCs w:val="0"/>
                <w:i w:val="0"/>
                <w:iCs w:val="0"/>
                <w:color w:val="auto"/>
                <w:sz w:val="24"/>
                <w:szCs w:val="24"/>
                <w:highlight w:val="none"/>
              </w:rPr>
              <w:t>(4)不同投标人的投标文件异常一致或者投标报价呈规律性差异；</w:t>
            </w:r>
          </w:p>
          <w:p w14:paraId="7DE841C2">
            <w:pPr>
              <w:pStyle w:val="20"/>
              <w:widowControl w:val="0"/>
              <w:autoSpaceDE w:val="0"/>
              <w:ind w:left="0" w:leftChars="0" w:firstLine="0" w:firstLineChars="0"/>
              <w:jc w:val="both"/>
              <w:rPr>
                <w:rFonts w:ascii="宋体" w:hAnsi="宋体" w:cs="宋体"/>
                <w:b w:val="0"/>
                <w:bCs w:val="0"/>
                <w:i w:val="0"/>
                <w:iCs w:val="0"/>
                <w:color w:val="auto"/>
                <w:sz w:val="24"/>
                <w:szCs w:val="24"/>
                <w:highlight w:val="none"/>
              </w:rPr>
            </w:pPr>
            <w:r>
              <w:rPr>
                <w:rFonts w:hint="eastAsia" w:ascii="宋体" w:hAnsi="宋体" w:cs="宋体"/>
                <w:b w:val="0"/>
                <w:bCs w:val="0"/>
                <w:i w:val="0"/>
                <w:iCs w:val="0"/>
                <w:color w:val="auto"/>
                <w:sz w:val="24"/>
                <w:szCs w:val="24"/>
                <w:highlight w:val="none"/>
              </w:rPr>
              <w:t>(5)不同投标人的投标文件相互混装；</w:t>
            </w:r>
          </w:p>
          <w:p w14:paraId="0FEA47CE">
            <w:pPr>
              <w:pStyle w:val="20"/>
              <w:widowControl w:val="0"/>
              <w:autoSpaceDE w:val="0"/>
              <w:ind w:left="0" w:leftChars="0" w:firstLine="0" w:firstLineChars="0"/>
              <w:jc w:val="both"/>
              <w:rPr>
                <w:rFonts w:ascii="宋体" w:hAnsi="宋体" w:cs="宋体"/>
                <w:b w:val="0"/>
                <w:bCs w:val="0"/>
                <w:i w:val="0"/>
                <w:iCs w:val="0"/>
                <w:color w:val="auto"/>
                <w:sz w:val="24"/>
                <w:szCs w:val="24"/>
                <w:highlight w:val="none"/>
              </w:rPr>
            </w:pPr>
            <w:r>
              <w:rPr>
                <w:rFonts w:hint="eastAsia" w:ascii="宋体" w:hAnsi="宋体" w:cs="宋体"/>
                <w:b w:val="0"/>
                <w:bCs w:val="0"/>
                <w:i w:val="0"/>
                <w:iCs w:val="0"/>
                <w:color w:val="auto"/>
                <w:sz w:val="24"/>
                <w:szCs w:val="24"/>
                <w:highlight w:val="none"/>
              </w:rPr>
              <w:t>(6)不同投标人的投标保证金从同一单位或者个人的账户转出；</w:t>
            </w:r>
          </w:p>
          <w:p w14:paraId="5538C7F0">
            <w:pPr>
              <w:widowControl w:val="0"/>
              <w:tabs>
                <w:tab w:val="left" w:pos="1260"/>
                <w:tab w:val="left" w:pos="1620"/>
              </w:tabs>
              <w:adjustRightInd w:val="0"/>
              <w:snapToGrid w:val="0"/>
              <w:jc w:val="both"/>
              <w:textAlignment w:val="baseline"/>
              <w:rPr>
                <w:rFonts w:ascii="宋体" w:hAnsi="宋体" w:cs="宋体"/>
                <w:b w:val="0"/>
                <w:bCs w:val="0"/>
                <w:i w:val="0"/>
                <w:iCs w:val="0"/>
                <w:color w:val="auto"/>
                <w:sz w:val="24"/>
                <w:szCs w:val="24"/>
                <w:highlight w:val="none"/>
              </w:rPr>
            </w:pPr>
            <w:r>
              <w:rPr>
                <w:rFonts w:hint="eastAsia" w:ascii="宋体" w:hAnsi="宋体" w:cs="宋体"/>
                <w:b w:val="0"/>
                <w:bCs w:val="0"/>
                <w:i w:val="0"/>
                <w:iCs w:val="0"/>
                <w:color w:val="auto"/>
                <w:sz w:val="24"/>
                <w:szCs w:val="24"/>
                <w:highlight w:val="none"/>
              </w:rPr>
              <w:t>(7)法律、法规和</w:t>
            </w:r>
            <w:r>
              <w:rPr>
                <w:rFonts w:hint="eastAsia" w:ascii="宋体" w:hAnsi="宋体" w:cs="宋体"/>
                <w:b w:val="0"/>
                <w:bCs w:val="0"/>
                <w:i w:val="0"/>
                <w:iCs w:val="0"/>
                <w:color w:val="auto"/>
                <w:sz w:val="24"/>
                <w:szCs w:val="24"/>
                <w:highlight w:val="none"/>
                <w:lang w:eastAsia="zh-CN"/>
              </w:rPr>
              <w:t>招标文件</w:t>
            </w:r>
            <w:r>
              <w:rPr>
                <w:rFonts w:hint="eastAsia" w:ascii="宋体" w:hAnsi="宋体" w:cs="宋体"/>
                <w:b w:val="0"/>
                <w:bCs w:val="0"/>
                <w:i w:val="0"/>
                <w:iCs w:val="0"/>
                <w:color w:val="auto"/>
                <w:sz w:val="24"/>
                <w:szCs w:val="24"/>
                <w:highlight w:val="none"/>
              </w:rPr>
              <w:t>规定的其他无效情形。</w:t>
            </w:r>
          </w:p>
        </w:tc>
      </w:tr>
      <w:tr w14:paraId="7AE44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95" w:type="dxa"/>
            <w:vMerge w:val="continue"/>
          </w:tcPr>
          <w:p w14:paraId="7577E2A7">
            <w:pPr>
              <w:pStyle w:val="20"/>
              <w:widowControl w:val="0"/>
              <w:jc w:val="both"/>
              <w:rPr>
                <w:rFonts w:ascii="宋体" w:hAnsi="宋体" w:cs="宋体"/>
                <w:b w:val="0"/>
                <w:bCs w:val="0"/>
                <w:i w:val="0"/>
                <w:iCs w:val="0"/>
                <w:color w:val="auto"/>
                <w:sz w:val="24"/>
                <w:szCs w:val="24"/>
                <w:highlight w:val="none"/>
              </w:rPr>
            </w:pPr>
          </w:p>
        </w:tc>
        <w:tc>
          <w:tcPr>
            <w:tcW w:w="2437" w:type="dxa"/>
          </w:tcPr>
          <w:p w14:paraId="5271D591">
            <w:pPr>
              <w:pStyle w:val="20"/>
              <w:widowControl w:val="0"/>
              <w:ind w:firstLine="0"/>
              <w:jc w:val="center"/>
              <w:rPr>
                <w:rFonts w:ascii="宋体" w:hAnsi="宋体" w:cs="宋体"/>
                <w:b w:val="0"/>
                <w:bCs w:val="0"/>
                <w:i w:val="0"/>
                <w:iCs w:val="0"/>
                <w:color w:val="auto"/>
                <w:sz w:val="24"/>
                <w:szCs w:val="24"/>
                <w:highlight w:val="none"/>
              </w:rPr>
            </w:pPr>
            <w:r>
              <w:rPr>
                <w:rFonts w:hint="eastAsia" w:ascii="宋体" w:hAnsi="宋体" w:cs="宋体"/>
                <w:b w:val="0"/>
                <w:bCs w:val="0"/>
                <w:i w:val="0"/>
                <w:iCs w:val="0"/>
                <w:color w:val="auto"/>
                <w:sz w:val="24"/>
                <w:szCs w:val="24"/>
                <w:highlight w:val="none"/>
              </w:rPr>
              <w:t>附加条件</w:t>
            </w:r>
          </w:p>
        </w:tc>
        <w:tc>
          <w:tcPr>
            <w:tcW w:w="5482" w:type="dxa"/>
          </w:tcPr>
          <w:p w14:paraId="1C398E49">
            <w:pPr>
              <w:pStyle w:val="20"/>
              <w:widowControl w:val="0"/>
              <w:ind w:firstLine="0"/>
              <w:jc w:val="both"/>
              <w:rPr>
                <w:rFonts w:ascii="宋体" w:hAnsi="宋体" w:cs="宋体"/>
                <w:b w:val="0"/>
                <w:bCs w:val="0"/>
                <w:i w:val="0"/>
                <w:iCs w:val="0"/>
                <w:color w:val="auto"/>
                <w:sz w:val="24"/>
                <w:szCs w:val="24"/>
                <w:highlight w:val="none"/>
              </w:rPr>
            </w:pPr>
            <w:r>
              <w:rPr>
                <w:rFonts w:hint="eastAsia" w:ascii="宋体" w:hAnsi="宋体" w:cs="宋体"/>
                <w:b w:val="0"/>
                <w:bCs w:val="0"/>
                <w:i w:val="0"/>
                <w:iCs w:val="0"/>
                <w:color w:val="auto"/>
                <w:sz w:val="24"/>
                <w:szCs w:val="24"/>
                <w:highlight w:val="none"/>
              </w:rPr>
              <w:t>投标文件未含有招标人不能接受的附加条件</w:t>
            </w:r>
          </w:p>
        </w:tc>
      </w:tr>
    </w:tbl>
    <w:p w14:paraId="5990C454">
      <w:pPr>
        <w:pStyle w:val="20"/>
        <w:spacing w:line="360" w:lineRule="auto"/>
        <w:ind w:firstLine="480" w:firstLineChars="200"/>
        <w:rPr>
          <w:rFonts w:ascii="宋体" w:hAnsi="宋体" w:cs="宋体"/>
          <w:b/>
          <w:bCs/>
          <w:i w:val="0"/>
          <w:iCs w:val="0"/>
          <w:color w:val="auto"/>
          <w:sz w:val="24"/>
          <w:szCs w:val="24"/>
          <w:highlight w:val="none"/>
        </w:rPr>
      </w:pPr>
      <w:r>
        <w:rPr>
          <w:rFonts w:hint="eastAsia" w:ascii="宋体" w:hAnsi="宋体" w:cs="宋体"/>
          <w:b w:val="0"/>
          <w:bCs w:val="0"/>
          <w:i w:val="0"/>
          <w:iCs w:val="0"/>
          <w:color w:val="auto"/>
          <w:sz w:val="24"/>
          <w:szCs w:val="24"/>
          <w:highlight w:val="none"/>
        </w:rPr>
        <w:t xml:space="preserve"> (三)澄清有关问题</w:t>
      </w:r>
    </w:p>
    <w:p w14:paraId="72BB6C12">
      <w:pPr>
        <w:pStyle w:val="20"/>
        <w:spacing w:line="360" w:lineRule="auto"/>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1.投标文件内容澄清</w:t>
      </w:r>
    </w:p>
    <w:p w14:paraId="2D9C8C9D">
      <w:pPr>
        <w:pStyle w:val="20"/>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对于投标文件中含义不明确、同类问题表述不一致或者有明显文字和计算错误的内容，评标委员会应当以书面形式要求投标人作出必要的澄清、说明或者补正。投标人的澄清、说明或者补正应当采用书面形式，并加盖单位公章，或者由法定代表人或其授权的代表签字。投标人的澄清、说明或者补正不得超出投标文件的范围或者改变投标文件的实质性内容。</w:t>
      </w:r>
    </w:p>
    <w:p w14:paraId="547939D0">
      <w:pPr>
        <w:pStyle w:val="20"/>
        <w:spacing w:line="360" w:lineRule="auto"/>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2.报价不一致情形澄清</w:t>
      </w:r>
    </w:p>
    <w:p w14:paraId="65569407">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投标文件报价出现前后不一致的，除</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另有规定外，按照下列规定修正：</w:t>
      </w:r>
    </w:p>
    <w:p w14:paraId="3A617B07">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(1)投标文件中《开标一览表》内容与投标文件中相应内容不一致的，以《开标一览表》为准；</w:t>
      </w:r>
    </w:p>
    <w:p w14:paraId="0C73D888">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(2)大写金额和小写金额不一致的，以大写金额为准；</w:t>
      </w:r>
    </w:p>
    <w:p w14:paraId="6950A103">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(3)单价金额小数点或者百分比有明显错位的，以开标一览表的总价为准，并修改单价；</w:t>
      </w:r>
    </w:p>
    <w:p w14:paraId="6C83D540">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(4)总价金额与按单价汇总金额不一致的，以单价金额计算结果为准。</w:t>
      </w:r>
    </w:p>
    <w:p w14:paraId="22138D59">
      <w:pPr>
        <w:pStyle w:val="20"/>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同时出现两种以上不一致的，按照前款规定的顺序修正。修正后的报价经投标人确认后产生约束力，投标人不确认的，其投标无效。</w:t>
      </w:r>
    </w:p>
    <w:p w14:paraId="09A28639">
      <w:pPr>
        <w:pStyle w:val="20"/>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3.报价过低情形</w:t>
      </w:r>
    </w:p>
    <w:p w14:paraId="78E4A0D7">
      <w:pPr>
        <w:keepNext w:val="0"/>
        <w:keepLines w:val="0"/>
        <w:pageBreakBefore w:val="0"/>
        <w:widowControl w:val="0"/>
        <w:kinsoku/>
        <w:wordWrap/>
        <w:overflowPunct/>
        <w:topLinePunct w:val="0"/>
        <w:bidi w:val="0"/>
        <w:adjustRightInd/>
        <w:snapToGrid w:val="0"/>
        <w:spacing w:after="0" w:line="360" w:lineRule="auto"/>
        <w:ind w:firstLine="440" w:firstLineChars="200"/>
        <w:textAlignment w:val="auto"/>
        <w:rPr>
          <w:rFonts w:hint="eastAsia" w:ascii="宋体" w:hAnsi="宋体" w:eastAsia="宋体" w:cs="宋体"/>
          <w:color w:val="4F81BD" w:themeColor="accent1"/>
          <w:kern w:val="2"/>
          <w:sz w:val="22"/>
          <w:szCs w:val="22"/>
          <w:highlight w:val="none"/>
          <w:lang w:val="en-US" w:eastAsia="zh-CN"/>
          <w14:textFill>
            <w14:solidFill>
              <w14:schemeClr w14:val="accent1"/>
            </w14:solidFill>
          </w14:textFill>
        </w:rPr>
      </w:pPr>
      <w:r>
        <w:rPr>
          <w:rFonts w:hint="eastAsia" w:ascii="宋体" w:hAnsi="宋体" w:eastAsia="宋体" w:cs="宋体"/>
          <w:color w:val="4F81BD" w:themeColor="accent1"/>
          <w:kern w:val="2"/>
          <w:sz w:val="22"/>
          <w:szCs w:val="22"/>
          <w:highlight w:val="none"/>
          <w14:textFill>
            <w14:solidFill>
              <w14:schemeClr w14:val="accent1"/>
            </w14:solidFill>
          </w14:textFill>
        </w:rPr>
        <w:t>根据</w:t>
      </w:r>
      <w:r>
        <w:rPr>
          <w:rFonts w:hint="eastAsia" w:ascii="宋体" w:hAnsi="宋体" w:eastAsia="宋体" w:cs="宋体"/>
          <w:color w:val="4F81BD" w:themeColor="accent1"/>
          <w:kern w:val="2"/>
          <w:sz w:val="22"/>
          <w:szCs w:val="22"/>
          <w:highlight w:val="none"/>
          <w:lang w:eastAsia="zh-CN"/>
          <w14:textFill>
            <w14:solidFill>
              <w14:schemeClr w14:val="accent1"/>
            </w14:solidFill>
          </w14:textFill>
        </w:rPr>
        <w:t>《</w:t>
      </w:r>
      <w:r>
        <w:rPr>
          <w:rFonts w:hint="eastAsia" w:ascii="宋体" w:hAnsi="宋体" w:eastAsia="宋体" w:cs="宋体"/>
          <w:color w:val="4F81BD" w:themeColor="accent1"/>
          <w:kern w:val="2"/>
          <w:sz w:val="22"/>
          <w:szCs w:val="22"/>
          <w:highlight w:val="none"/>
          <w14:textFill>
            <w14:solidFill>
              <w14:schemeClr w14:val="accent1"/>
            </w14:solidFill>
          </w14:textFill>
        </w:rPr>
        <w:t>关于推动解决政府采购异常低价问题的通知</w:t>
      </w:r>
      <w:r>
        <w:rPr>
          <w:rFonts w:hint="eastAsia" w:ascii="宋体" w:hAnsi="宋体" w:eastAsia="宋体" w:cs="宋体"/>
          <w:color w:val="4F81BD" w:themeColor="accent1"/>
          <w:kern w:val="2"/>
          <w:sz w:val="22"/>
          <w:szCs w:val="22"/>
          <w:highlight w:val="none"/>
          <w:lang w:eastAsia="zh-CN"/>
          <w14:textFill>
            <w14:solidFill>
              <w14:schemeClr w14:val="accent1"/>
            </w14:solidFill>
          </w14:textFill>
        </w:rPr>
        <w:t>》</w:t>
      </w:r>
      <w:r>
        <w:rPr>
          <w:rFonts w:hint="eastAsia" w:ascii="宋体" w:hAnsi="宋体" w:eastAsia="宋体" w:cs="宋体"/>
          <w:color w:val="4F81BD" w:themeColor="accent1"/>
          <w:kern w:val="2"/>
          <w:sz w:val="22"/>
          <w:szCs w:val="22"/>
          <w:highlight w:val="none"/>
          <w14:textFill>
            <w14:solidFill>
              <w14:schemeClr w14:val="accent1"/>
            </w14:solidFill>
          </w14:textFill>
        </w:rPr>
        <w:t>财库〔2026〕2号</w:t>
      </w:r>
      <w:r>
        <w:rPr>
          <w:rFonts w:hint="eastAsia" w:ascii="宋体" w:hAnsi="宋体" w:eastAsia="宋体" w:cs="宋体"/>
          <w:color w:val="4F81BD" w:themeColor="accent1"/>
          <w:kern w:val="2"/>
          <w:sz w:val="22"/>
          <w:szCs w:val="22"/>
          <w:highlight w:val="none"/>
          <w:lang w:val="en-US" w:eastAsia="zh-CN"/>
          <w14:textFill>
            <w14:solidFill>
              <w14:schemeClr w14:val="accent1"/>
            </w14:solidFill>
          </w14:textFill>
        </w:rPr>
        <w:t>文件，评审中出现下列情形之一的，评审委员会应当启动异常低价投标（响应）审查程序：</w:t>
      </w:r>
    </w:p>
    <w:p w14:paraId="1616ADC3">
      <w:pPr>
        <w:keepNext w:val="0"/>
        <w:keepLines w:val="0"/>
        <w:pageBreakBefore w:val="0"/>
        <w:widowControl w:val="0"/>
        <w:kinsoku/>
        <w:wordWrap/>
        <w:overflowPunct/>
        <w:topLinePunct w:val="0"/>
        <w:bidi w:val="0"/>
        <w:adjustRightInd/>
        <w:snapToGrid w:val="0"/>
        <w:spacing w:after="0" w:line="360" w:lineRule="auto"/>
        <w:ind w:firstLine="44" w:firstLineChars="20"/>
        <w:textAlignment w:val="auto"/>
        <w:rPr>
          <w:rFonts w:hint="eastAsia" w:ascii="宋体" w:hAnsi="宋体" w:eastAsia="宋体" w:cs="宋体"/>
          <w:color w:val="4F81BD" w:themeColor="accent1"/>
          <w:kern w:val="2"/>
          <w:sz w:val="22"/>
          <w:szCs w:val="22"/>
          <w:highlight w:val="none"/>
          <w:lang w:val="en-US" w:eastAsia="zh-CN"/>
          <w14:textFill>
            <w14:solidFill>
              <w14:schemeClr w14:val="accent1"/>
            </w14:solidFill>
          </w14:textFill>
        </w:rPr>
      </w:pPr>
      <w:r>
        <w:rPr>
          <w:rFonts w:hint="eastAsia" w:ascii="宋体" w:hAnsi="宋体" w:eastAsia="宋体" w:cs="宋体"/>
          <w:color w:val="4F81BD" w:themeColor="accent1"/>
          <w:kern w:val="2"/>
          <w:sz w:val="22"/>
          <w:szCs w:val="22"/>
          <w:highlight w:val="none"/>
          <w:lang w:val="en-US" w:eastAsia="zh-CN"/>
          <w14:textFill>
            <w14:solidFill>
              <w14:schemeClr w14:val="accent1"/>
            </w14:solidFill>
          </w14:textFill>
        </w:rPr>
        <w:t>（1）投标（响应）报价低于全部通过符合性审查供应商投标（响应）报价平均值60%的，即投标（响应）报价&lt;全部通过符合性审查供应商投标（响应）报价平均值×60%；</w:t>
      </w:r>
    </w:p>
    <w:p w14:paraId="5B5F6727">
      <w:pPr>
        <w:keepNext w:val="0"/>
        <w:keepLines w:val="0"/>
        <w:pageBreakBefore w:val="0"/>
        <w:widowControl w:val="0"/>
        <w:kinsoku/>
        <w:wordWrap/>
        <w:overflowPunct/>
        <w:topLinePunct w:val="0"/>
        <w:bidi w:val="0"/>
        <w:adjustRightInd/>
        <w:snapToGrid w:val="0"/>
        <w:spacing w:after="0" w:line="360" w:lineRule="auto"/>
        <w:ind w:firstLine="44" w:firstLineChars="20"/>
        <w:textAlignment w:val="auto"/>
        <w:rPr>
          <w:rFonts w:hint="eastAsia" w:ascii="宋体" w:hAnsi="宋体" w:eastAsia="宋体" w:cs="宋体"/>
          <w:color w:val="4F81BD" w:themeColor="accent1"/>
          <w:kern w:val="2"/>
          <w:sz w:val="22"/>
          <w:szCs w:val="22"/>
          <w:highlight w:val="none"/>
          <w:lang w:val="en-US" w:eastAsia="zh-CN"/>
          <w14:textFill>
            <w14:solidFill>
              <w14:schemeClr w14:val="accent1"/>
            </w14:solidFill>
          </w14:textFill>
        </w:rPr>
      </w:pPr>
      <w:r>
        <w:rPr>
          <w:rFonts w:hint="eastAsia" w:ascii="宋体" w:hAnsi="宋体" w:eastAsia="宋体" w:cs="宋体"/>
          <w:color w:val="4F81BD" w:themeColor="accent1"/>
          <w:kern w:val="2"/>
          <w:sz w:val="22"/>
          <w:szCs w:val="22"/>
          <w:highlight w:val="none"/>
          <w:lang w:val="en-US" w:eastAsia="zh-CN"/>
          <w14:textFill>
            <w14:solidFill>
              <w14:schemeClr w14:val="accent1"/>
            </w14:solidFill>
          </w14:textFill>
        </w:rPr>
        <w:t>（2）投标（响应）报价低于通过符合性审查的次低报价供应商投标（响应）报价60%的，即投标（响应）报价&lt;通过符合性审查的次低报价供应商投标（响应）报价×60%；</w:t>
      </w:r>
    </w:p>
    <w:p w14:paraId="1EFC4C0B">
      <w:pPr>
        <w:keepNext w:val="0"/>
        <w:keepLines w:val="0"/>
        <w:pageBreakBefore w:val="0"/>
        <w:widowControl w:val="0"/>
        <w:kinsoku/>
        <w:wordWrap/>
        <w:overflowPunct/>
        <w:topLinePunct w:val="0"/>
        <w:bidi w:val="0"/>
        <w:adjustRightInd/>
        <w:snapToGrid w:val="0"/>
        <w:spacing w:after="0" w:line="360" w:lineRule="auto"/>
        <w:ind w:firstLine="44" w:firstLineChars="20"/>
        <w:textAlignment w:val="auto"/>
        <w:rPr>
          <w:rFonts w:hint="eastAsia" w:ascii="宋体" w:hAnsi="宋体" w:eastAsia="宋体" w:cs="宋体"/>
          <w:color w:val="4F81BD" w:themeColor="accent1"/>
          <w:kern w:val="2"/>
          <w:sz w:val="22"/>
          <w:szCs w:val="22"/>
          <w:highlight w:val="none"/>
          <w:lang w:val="en-US" w:eastAsia="zh-CN"/>
          <w14:textFill>
            <w14:solidFill>
              <w14:schemeClr w14:val="accent1"/>
            </w14:solidFill>
          </w14:textFill>
        </w:rPr>
      </w:pPr>
      <w:r>
        <w:rPr>
          <w:rFonts w:hint="eastAsia" w:ascii="宋体" w:hAnsi="宋体" w:eastAsia="宋体" w:cs="宋体"/>
          <w:color w:val="4F81BD" w:themeColor="accent1"/>
          <w:kern w:val="2"/>
          <w:sz w:val="22"/>
          <w:szCs w:val="22"/>
          <w:highlight w:val="none"/>
          <w:lang w:val="en-US" w:eastAsia="zh-CN"/>
          <w14:textFill>
            <w14:solidFill>
              <w14:schemeClr w14:val="accent1"/>
            </w14:solidFill>
          </w14:textFill>
        </w:rPr>
        <w:t>（3）投标（响应）报价低于采购项目最高限价60%的，即投标（响应）报价&lt;采购项目最高限价×60%；</w:t>
      </w:r>
    </w:p>
    <w:p w14:paraId="4620D169">
      <w:pPr>
        <w:keepNext w:val="0"/>
        <w:keepLines w:val="0"/>
        <w:pageBreakBefore w:val="0"/>
        <w:widowControl w:val="0"/>
        <w:kinsoku/>
        <w:wordWrap/>
        <w:overflowPunct/>
        <w:topLinePunct w:val="0"/>
        <w:bidi w:val="0"/>
        <w:adjustRightInd/>
        <w:snapToGrid w:val="0"/>
        <w:spacing w:after="0" w:line="360" w:lineRule="auto"/>
        <w:ind w:firstLine="44" w:firstLineChars="20"/>
        <w:textAlignment w:val="auto"/>
        <w:rPr>
          <w:rFonts w:hint="eastAsia" w:ascii="宋体" w:hAnsi="宋体" w:eastAsia="宋体" w:cs="宋体"/>
          <w:color w:val="4F81BD" w:themeColor="accent1"/>
          <w:kern w:val="2"/>
          <w:sz w:val="22"/>
          <w:szCs w:val="22"/>
          <w:highlight w:val="none"/>
          <w:lang w:val="en-US" w:eastAsia="zh-CN"/>
          <w14:textFill>
            <w14:solidFill>
              <w14:schemeClr w14:val="accent1"/>
            </w14:solidFill>
          </w14:textFill>
        </w:rPr>
      </w:pPr>
      <w:r>
        <w:rPr>
          <w:rFonts w:hint="eastAsia" w:ascii="宋体" w:hAnsi="宋体" w:eastAsia="宋体" w:cs="宋体"/>
          <w:color w:val="4F81BD" w:themeColor="accent1"/>
          <w:kern w:val="2"/>
          <w:sz w:val="22"/>
          <w:szCs w:val="22"/>
          <w:highlight w:val="none"/>
          <w:lang w:val="en-US" w:eastAsia="zh-CN"/>
          <w14:textFill>
            <w14:solidFill>
              <w14:schemeClr w14:val="accent1"/>
            </w14:solidFill>
          </w14:textFill>
        </w:rPr>
        <w:t>（4）评审委员会基于专业判断，认为供应商报价过低，有可能影响产品质量或者不能诚信履约的其他情形。</w:t>
      </w:r>
    </w:p>
    <w:p w14:paraId="2EBA0021">
      <w:pPr>
        <w:numPr>
          <w:ilvl w:val="0"/>
          <w:numId w:val="0"/>
        </w:numPr>
        <w:spacing w:line="500" w:lineRule="exact"/>
        <w:ind w:firstLine="440" w:firstLineChars="200"/>
        <w:rPr>
          <w:rFonts w:hint="eastAsia" w:ascii="宋体" w:hAnsi="宋体" w:eastAsia="宋体" w:cs="宋体"/>
          <w:color w:val="4F81BD" w:themeColor="accent1"/>
          <w:kern w:val="2"/>
          <w:sz w:val="22"/>
          <w:szCs w:val="22"/>
          <w:highlight w:val="none"/>
          <w:lang w:val="en-US" w:eastAsia="zh-CN"/>
          <w14:textFill>
            <w14:solidFill>
              <w14:schemeClr w14:val="accent1"/>
            </w14:solidFill>
          </w14:textFill>
        </w:rPr>
      </w:pPr>
      <w:r>
        <w:rPr>
          <w:rFonts w:hint="eastAsia" w:ascii="宋体" w:hAnsi="宋体" w:eastAsia="宋体" w:cs="宋体"/>
          <w:color w:val="4F81BD" w:themeColor="accent1"/>
          <w:kern w:val="2"/>
          <w:sz w:val="22"/>
          <w:szCs w:val="22"/>
          <w:highlight w:val="none"/>
          <w:lang w:val="en-US" w:eastAsia="zh-CN"/>
          <w14:textFill>
            <w14:solidFill>
              <w14:schemeClr w14:val="accent1"/>
            </w14:solidFill>
          </w14:textFill>
        </w:rPr>
        <w:t>若审核为异常低价的供应商可在30分钟内对投标（响应）价格作出解释，提供项目具体成本测算等与报价合理性相关的书面说明及必要的证明材料，包括但不限于原材料成本、人工成本、制造费用等。不作出说明或不能提供书面说明、证明材料，或者提供的书面说明、证明材料不能证明其报价合理性的，作为无效投标（响应）处理。</w:t>
      </w:r>
    </w:p>
    <w:p w14:paraId="14ACAD64">
      <w:pPr>
        <w:numPr>
          <w:ilvl w:val="0"/>
          <w:numId w:val="0"/>
        </w:numPr>
        <w:spacing w:line="500" w:lineRule="exact"/>
        <w:ind w:firstLine="442" w:firstLineChars="200"/>
        <w:rPr>
          <w:rFonts w:ascii="宋体" w:hAnsi="宋体" w:cs="宋体"/>
          <w:b/>
          <w:bCs/>
          <w:i w:val="0"/>
          <w:iCs w:val="0"/>
          <w:color w:val="auto"/>
          <w:sz w:val="24"/>
          <w:szCs w:val="24"/>
          <w:highlight w:val="none"/>
        </w:rPr>
      </w:pPr>
      <w:r>
        <w:rPr>
          <w:rFonts w:hint="eastAsia" w:ascii="宋体" w:hAnsi="宋体" w:eastAsia="宋体" w:cs="宋体"/>
          <w:b/>
          <w:bCs/>
          <w:color w:val="auto"/>
          <w:kern w:val="2"/>
          <w:sz w:val="22"/>
          <w:szCs w:val="22"/>
          <w:highlight w:val="none"/>
          <w:lang w:val="en-US" w:eastAsia="zh-CN"/>
        </w:rPr>
        <w:t>（四）</w:t>
      </w:r>
      <w:r>
        <w:rPr>
          <w:rFonts w:hint="eastAsia" w:ascii="宋体" w:hAnsi="宋体" w:cs="宋体"/>
          <w:b/>
          <w:bCs/>
          <w:i w:val="0"/>
          <w:iCs w:val="0"/>
          <w:color w:val="auto"/>
          <w:sz w:val="24"/>
          <w:szCs w:val="24"/>
          <w:highlight w:val="none"/>
        </w:rPr>
        <w:t>商务和技术评估、综合比较与评价</w:t>
      </w:r>
    </w:p>
    <w:p w14:paraId="1EDAA0B7">
      <w:pPr>
        <w:autoSpaceDE w:val="0"/>
        <w:autoSpaceDN w:val="0"/>
        <w:spacing w:line="480" w:lineRule="exact"/>
        <w:ind w:firstLine="470" w:firstLineChars="196"/>
        <w:rPr>
          <w:rFonts w:ascii="宋体" w:hAnsi="宋体" w:cs="宋体"/>
          <w:b w:val="0"/>
          <w:bCs w:val="0"/>
          <w:sz w:val="24"/>
          <w:szCs w:val="24"/>
          <w:highlight w:val="none"/>
        </w:rPr>
      </w:pPr>
      <w:r>
        <w:rPr>
          <w:rFonts w:hint="eastAsia" w:ascii="宋体" w:hAnsi="宋体" w:cs="宋体"/>
          <w:b w:val="0"/>
          <w:bCs w:val="0"/>
          <w:sz w:val="24"/>
          <w:szCs w:val="24"/>
          <w:highlight w:val="none"/>
        </w:rPr>
        <w:t>综合评分方式</w:t>
      </w:r>
    </w:p>
    <w:tbl>
      <w:tblPr>
        <w:tblStyle w:val="47"/>
        <w:tblW w:w="47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8"/>
        <w:gridCol w:w="2359"/>
        <w:gridCol w:w="3905"/>
      </w:tblGrid>
      <w:tr w14:paraId="326E5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551" w:type="pct"/>
            <w:vAlign w:val="center"/>
          </w:tcPr>
          <w:p w14:paraId="44545742">
            <w:pPr>
              <w:pStyle w:val="20"/>
              <w:spacing w:line="360" w:lineRule="auto"/>
              <w:ind w:firstLine="0"/>
              <w:jc w:val="center"/>
              <w:rPr>
                <w:rFonts w:ascii="宋体" w:hAnsi="宋体" w:cs="宋体"/>
                <w:b/>
                <w:sz w:val="24"/>
                <w:szCs w:val="24"/>
                <w:highlight w:val="none"/>
              </w:rPr>
            </w:pPr>
            <w:r>
              <w:rPr>
                <w:rFonts w:hint="eastAsia" w:ascii="宋体" w:hAnsi="宋体" w:cs="宋体"/>
                <w:b/>
                <w:sz w:val="24"/>
                <w:szCs w:val="24"/>
                <w:highlight w:val="none"/>
              </w:rPr>
              <w:t>评分因素</w:t>
            </w:r>
          </w:p>
        </w:tc>
        <w:tc>
          <w:tcPr>
            <w:tcW w:w="1298" w:type="pct"/>
            <w:vAlign w:val="center"/>
          </w:tcPr>
          <w:p w14:paraId="72A46374">
            <w:pPr>
              <w:pStyle w:val="20"/>
              <w:spacing w:line="360" w:lineRule="auto"/>
              <w:ind w:firstLine="0"/>
              <w:jc w:val="center"/>
              <w:rPr>
                <w:rFonts w:ascii="宋体" w:hAnsi="宋体" w:cs="宋体"/>
                <w:b/>
                <w:sz w:val="24"/>
                <w:szCs w:val="24"/>
                <w:highlight w:val="none"/>
              </w:rPr>
            </w:pPr>
            <w:r>
              <w:rPr>
                <w:rFonts w:hint="eastAsia" w:ascii="宋体" w:hAnsi="宋体" w:cs="宋体"/>
                <w:b/>
                <w:sz w:val="24"/>
                <w:szCs w:val="24"/>
                <w:highlight w:val="none"/>
              </w:rPr>
              <w:t>权重</w:t>
            </w:r>
          </w:p>
        </w:tc>
        <w:tc>
          <w:tcPr>
            <w:tcW w:w="2149" w:type="pct"/>
            <w:vAlign w:val="center"/>
          </w:tcPr>
          <w:p w14:paraId="2788493C">
            <w:pPr>
              <w:pStyle w:val="20"/>
              <w:spacing w:line="360" w:lineRule="auto"/>
              <w:jc w:val="center"/>
              <w:rPr>
                <w:rFonts w:ascii="宋体" w:hAnsi="宋体" w:cs="宋体"/>
                <w:b/>
                <w:sz w:val="24"/>
                <w:szCs w:val="24"/>
                <w:highlight w:val="none"/>
              </w:rPr>
            </w:pPr>
            <w:r>
              <w:rPr>
                <w:rFonts w:hint="eastAsia" w:ascii="宋体" w:hAnsi="宋体" w:cs="宋体"/>
                <w:b/>
                <w:sz w:val="24"/>
                <w:szCs w:val="24"/>
                <w:highlight w:val="none"/>
              </w:rPr>
              <w:t>分值分配</w:t>
            </w:r>
          </w:p>
        </w:tc>
      </w:tr>
      <w:tr w14:paraId="5C211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pct"/>
            <w:vAlign w:val="center"/>
          </w:tcPr>
          <w:p w14:paraId="4D5DBC79">
            <w:pPr>
              <w:pStyle w:val="20"/>
              <w:spacing w:line="360" w:lineRule="auto"/>
              <w:ind w:firstLine="0"/>
              <w:jc w:val="center"/>
              <w:rPr>
                <w:rFonts w:ascii="宋体" w:hAnsi="宋体" w:cs="宋体"/>
                <w:sz w:val="24"/>
                <w:szCs w:val="24"/>
                <w:highlight w:val="none"/>
              </w:rPr>
            </w:pPr>
            <w:r>
              <w:rPr>
                <w:rFonts w:hint="eastAsia" w:ascii="宋体" w:hAnsi="宋体" w:cs="宋体"/>
                <w:sz w:val="24"/>
                <w:szCs w:val="24"/>
                <w:highlight w:val="none"/>
              </w:rPr>
              <w:t>投标报价</w:t>
            </w:r>
          </w:p>
        </w:tc>
        <w:tc>
          <w:tcPr>
            <w:tcW w:w="1298" w:type="pct"/>
            <w:vAlign w:val="center"/>
          </w:tcPr>
          <w:p w14:paraId="20145EBA">
            <w:pPr>
              <w:pStyle w:val="20"/>
              <w:spacing w:line="360" w:lineRule="auto"/>
              <w:ind w:firstLine="0"/>
              <w:jc w:val="center"/>
              <w:rPr>
                <w:rFonts w:ascii="宋体" w:hAnsi="宋体" w:cs="宋体"/>
                <w:color w:val="auto"/>
                <w:sz w:val="24"/>
                <w:szCs w:val="24"/>
                <w:highlight w:val="none"/>
              </w:rPr>
            </w:pPr>
            <w:r>
              <w:rPr>
                <w:rFonts w:hint="eastAsia" w:ascii="宋体" w:hAnsi="宋体" w:cs="宋体"/>
                <w:color w:val="auto"/>
                <w:sz w:val="24"/>
                <w:szCs w:val="24"/>
                <w:highlight w:val="none"/>
              </w:rPr>
              <w:t>0.30</w:t>
            </w:r>
          </w:p>
        </w:tc>
        <w:tc>
          <w:tcPr>
            <w:tcW w:w="2149" w:type="pct"/>
            <w:vAlign w:val="center"/>
          </w:tcPr>
          <w:p w14:paraId="4882C735">
            <w:pPr>
              <w:pStyle w:val="2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30分</w:t>
            </w:r>
          </w:p>
        </w:tc>
      </w:tr>
      <w:tr w14:paraId="43F05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pct"/>
            <w:vAlign w:val="center"/>
          </w:tcPr>
          <w:p w14:paraId="7D05E0A1">
            <w:pPr>
              <w:pStyle w:val="20"/>
              <w:spacing w:line="360" w:lineRule="auto"/>
              <w:ind w:firstLine="0"/>
              <w:jc w:val="center"/>
              <w:rPr>
                <w:rFonts w:ascii="宋体" w:hAnsi="宋体" w:cs="宋体"/>
                <w:sz w:val="24"/>
                <w:szCs w:val="24"/>
                <w:highlight w:val="none"/>
              </w:rPr>
            </w:pPr>
            <w:r>
              <w:rPr>
                <w:rFonts w:hint="eastAsia" w:ascii="宋体" w:hAnsi="宋体" w:cs="宋体"/>
                <w:bCs/>
                <w:sz w:val="24"/>
                <w:szCs w:val="24"/>
                <w:highlight w:val="none"/>
              </w:rPr>
              <w:t>技术部分</w:t>
            </w:r>
          </w:p>
        </w:tc>
        <w:tc>
          <w:tcPr>
            <w:tcW w:w="1298" w:type="pct"/>
            <w:vAlign w:val="center"/>
          </w:tcPr>
          <w:p w14:paraId="65876F28">
            <w:pPr>
              <w:pStyle w:val="20"/>
              <w:spacing w:line="360" w:lineRule="auto"/>
              <w:ind w:firstLine="0"/>
              <w:jc w:val="center"/>
              <w:rPr>
                <w:rFonts w:ascii="宋体" w:hAnsi="宋体" w:cs="宋体"/>
                <w:color w:val="auto"/>
                <w:sz w:val="24"/>
                <w:szCs w:val="24"/>
                <w:highlight w:val="none"/>
              </w:rPr>
            </w:pPr>
            <w:r>
              <w:rPr>
                <w:rFonts w:hint="eastAsia" w:ascii="宋体" w:hAnsi="宋体" w:cs="宋体"/>
                <w:color w:val="auto"/>
                <w:sz w:val="24"/>
                <w:szCs w:val="24"/>
                <w:highlight w:val="none"/>
              </w:rPr>
              <w:t>0.</w:t>
            </w: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0</w:t>
            </w:r>
          </w:p>
        </w:tc>
        <w:tc>
          <w:tcPr>
            <w:tcW w:w="2149" w:type="pct"/>
            <w:vAlign w:val="center"/>
          </w:tcPr>
          <w:p w14:paraId="17C03650">
            <w:pPr>
              <w:pStyle w:val="2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0分</w:t>
            </w:r>
          </w:p>
        </w:tc>
      </w:tr>
      <w:tr w14:paraId="70300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551" w:type="pct"/>
            <w:vAlign w:val="center"/>
          </w:tcPr>
          <w:p w14:paraId="6B91DEDA">
            <w:pPr>
              <w:pStyle w:val="20"/>
              <w:spacing w:line="360" w:lineRule="auto"/>
              <w:ind w:firstLine="0"/>
              <w:jc w:val="center"/>
              <w:rPr>
                <w:rFonts w:ascii="宋体" w:hAnsi="宋体" w:cs="宋体"/>
                <w:sz w:val="24"/>
                <w:szCs w:val="24"/>
                <w:highlight w:val="none"/>
              </w:rPr>
            </w:pPr>
            <w:r>
              <w:rPr>
                <w:rFonts w:hint="eastAsia" w:ascii="宋体" w:hAnsi="宋体" w:cs="宋体"/>
                <w:sz w:val="24"/>
                <w:szCs w:val="24"/>
                <w:highlight w:val="none"/>
              </w:rPr>
              <w:t>合计</w:t>
            </w:r>
          </w:p>
        </w:tc>
        <w:tc>
          <w:tcPr>
            <w:tcW w:w="1298" w:type="pct"/>
            <w:vAlign w:val="center"/>
          </w:tcPr>
          <w:p w14:paraId="561F4C60">
            <w:pPr>
              <w:pStyle w:val="20"/>
              <w:spacing w:line="360" w:lineRule="auto"/>
              <w:ind w:firstLine="0"/>
              <w:jc w:val="center"/>
              <w:rPr>
                <w:rFonts w:ascii="宋体" w:hAnsi="宋体" w:cs="宋体"/>
                <w:sz w:val="24"/>
                <w:szCs w:val="24"/>
                <w:highlight w:val="none"/>
              </w:rPr>
            </w:pPr>
            <w:r>
              <w:rPr>
                <w:rFonts w:hint="eastAsia" w:ascii="宋体" w:hAnsi="宋体" w:cs="宋体"/>
                <w:sz w:val="24"/>
                <w:szCs w:val="24"/>
                <w:highlight w:val="none"/>
              </w:rPr>
              <w:t>1</w:t>
            </w:r>
          </w:p>
        </w:tc>
        <w:tc>
          <w:tcPr>
            <w:tcW w:w="2149" w:type="pct"/>
            <w:vAlign w:val="center"/>
          </w:tcPr>
          <w:p w14:paraId="09C1F065">
            <w:pPr>
              <w:pStyle w:val="20"/>
              <w:spacing w:line="360" w:lineRule="auto"/>
              <w:jc w:val="center"/>
              <w:rPr>
                <w:rFonts w:ascii="宋体" w:hAnsi="宋体" w:cs="宋体"/>
                <w:sz w:val="24"/>
                <w:szCs w:val="24"/>
                <w:highlight w:val="none"/>
              </w:rPr>
            </w:pPr>
            <w:r>
              <w:rPr>
                <w:rFonts w:hint="eastAsia" w:ascii="宋体" w:hAnsi="宋体" w:cs="宋体"/>
                <w:sz w:val="24"/>
                <w:szCs w:val="24"/>
                <w:highlight w:val="none"/>
              </w:rPr>
              <w:t>100分</w:t>
            </w:r>
          </w:p>
        </w:tc>
      </w:tr>
    </w:tbl>
    <w:p w14:paraId="7E7A8501">
      <w:pPr>
        <w:pStyle w:val="20"/>
        <w:spacing w:line="480" w:lineRule="exact"/>
        <w:ind w:left="0" w:leftChars="0" w:firstLine="480" w:firstLineChars="200"/>
        <w:rPr>
          <w:rFonts w:ascii="宋体" w:hAnsi="宋体" w:cs="宋体"/>
          <w:sz w:val="24"/>
          <w:szCs w:val="24"/>
          <w:highlight w:val="none"/>
        </w:rPr>
      </w:pPr>
      <w:r>
        <w:rPr>
          <w:rFonts w:hint="eastAsia" w:ascii="宋体" w:hAnsi="宋体" w:cs="宋体"/>
          <w:sz w:val="24"/>
          <w:szCs w:val="24"/>
          <w:highlight w:val="none"/>
        </w:rPr>
        <w:t>具体评审细则如下：</w:t>
      </w:r>
    </w:p>
    <w:p w14:paraId="6BE12DA8">
      <w:pPr>
        <w:rPr>
          <w:rFonts w:ascii="宋体" w:hAnsi="宋体" w:cs="宋体"/>
          <w:i w:val="0"/>
          <w:iCs w:val="0"/>
          <w:color w:val="auto"/>
          <w:highlight w:val="none"/>
        </w:rPr>
      </w:pPr>
    </w:p>
    <w:tbl>
      <w:tblPr>
        <w:tblStyle w:val="47"/>
        <w:tblW w:w="97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40"/>
        <w:gridCol w:w="1339"/>
        <w:gridCol w:w="7329"/>
      </w:tblGrid>
      <w:tr w14:paraId="07772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65" w:hRule="atLeast"/>
          <w:jc w:val="center"/>
        </w:trPr>
        <w:tc>
          <w:tcPr>
            <w:tcW w:w="1040" w:type="dxa"/>
            <w:vMerge w:val="restart"/>
            <w:tcBorders>
              <w:tl2br w:val="nil"/>
              <w:tr2bl w:val="nil"/>
            </w:tcBorders>
            <w:tcMar>
              <w:top w:w="10" w:type="dxa"/>
              <w:left w:w="10" w:type="dxa"/>
              <w:right w:w="10" w:type="dxa"/>
            </w:tcMar>
            <w:vAlign w:val="center"/>
          </w:tcPr>
          <w:p w14:paraId="434F218A">
            <w:pPr>
              <w:keepNext w:val="0"/>
              <w:keepLines w:val="0"/>
              <w:pageBreakBefore w:val="0"/>
              <w:widowControl/>
              <w:kinsoku/>
              <w:wordWrap/>
              <w:overflowPunct/>
              <w:topLinePunct w:val="0"/>
              <w:autoSpaceDE/>
              <w:autoSpaceDN/>
              <w:bidi w:val="0"/>
              <w:spacing w:line="360" w:lineRule="auto"/>
              <w:jc w:val="center"/>
              <w:textAlignment w:val="center"/>
              <w:rPr>
                <w:rFonts w:hint="eastAsia" w:ascii="宋体" w:hAnsi="宋体" w:eastAsia="宋体" w:cs="宋体"/>
                <w:b/>
                <w:i w:val="0"/>
                <w:iCs w:val="0"/>
                <w:color w:val="auto"/>
                <w:sz w:val="24"/>
                <w:szCs w:val="24"/>
                <w:highlight w:val="none"/>
                <w:lang w:eastAsia="zh-CN"/>
              </w:rPr>
            </w:pPr>
            <w:bookmarkStart w:id="235" w:name="_Toc15431"/>
            <w:r>
              <w:rPr>
                <w:rFonts w:hint="eastAsia" w:ascii="宋体" w:hAnsi="宋体" w:eastAsia="宋体" w:cs="宋体"/>
                <w:b/>
                <w:i w:val="0"/>
                <w:iCs w:val="0"/>
                <w:color w:val="auto"/>
                <w:sz w:val="24"/>
                <w:szCs w:val="24"/>
                <w:highlight w:val="none"/>
                <w:lang w:bidi="ar"/>
              </w:rPr>
              <w:t>商务部分</w:t>
            </w:r>
            <w:r>
              <w:rPr>
                <w:rFonts w:hint="eastAsia" w:ascii="宋体" w:hAnsi="宋体" w:eastAsia="宋体" w:cs="宋体"/>
                <w:b/>
                <w:i w:val="0"/>
                <w:iCs w:val="0"/>
                <w:color w:val="auto"/>
                <w:sz w:val="24"/>
                <w:szCs w:val="24"/>
                <w:highlight w:val="none"/>
                <w:lang w:eastAsia="zh-CN" w:bidi="ar"/>
              </w:rPr>
              <w:t>（</w:t>
            </w:r>
            <w:r>
              <w:rPr>
                <w:rFonts w:hint="eastAsia" w:ascii="宋体" w:hAnsi="宋体" w:eastAsia="宋体" w:cs="宋体"/>
                <w:b/>
                <w:bCs/>
                <w:i w:val="0"/>
                <w:iCs w:val="0"/>
                <w:color w:val="auto"/>
                <w:sz w:val="24"/>
                <w:szCs w:val="24"/>
                <w:highlight w:val="none"/>
              </w:rPr>
              <w:t>满分</w:t>
            </w:r>
            <w:r>
              <w:rPr>
                <w:rFonts w:hint="eastAsia" w:ascii="宋体" w:hAnsi="宋体" w:eastAsia="宋体" w:cs="宋体"/>
                <w:b/>
                <w:bCs/>
                <w:i w:val="0"/>
                <w:iCs w:val="0"/>
                <w:color w:val="auto"/>
                <w:sz w:val="24"/>
                <w:szCs w:val="24"/>
                <w:highlight w:val="none"/>
                <w:lang w:val="en-US" w:eastAsia="zh-CN"/>
              </w:rPr>
              <w:t>30</w:t>
            </w:r>
            <w:r>
              <w:rPr>
                <w:rFonts w:hint="eastAsia" w:ascii="宋体" w:hAnsi="宋体" w:eastAsia="宋体" w:cs="宋体"/>
                <w:b/>
                <w:bCs/>
                <w:i w:val="0"/>
                <w:iCs w:val="0"/>
                <w:color w:val="auto"/>
                <w:sz w:val="24"/>
                <w:szCs w:val="24"/>
                <w:highlight w:val="none"/>
              </w:rPr>
              <w:t>分</w:t>
            </w:r>
            <w:r>
              <w:rPr>
                <w:rFonts w:hint="eastAsia" w:ascii="宋体" w:hAnsi="宋体" w:eastAsia="宋体" w:cs="宋体"/>
                <w:b/>
                <w:i w:val="0"/>
                <w:iCs w:val="0"/>
                <w:color w:val="auto"/>
                <w:sz w:val="24"/>
                <w:szCs w:val="24"/>
                <w:highlight w:val="none"/>
                <w:lang w:eastAsia="zh-CN" w:bidi="ar"/>
              </w:rPr>
              <w:t>）</w:t>
            </w:r>
          </w:p>
        </w:tc>
        <w:tc>
          <w:tcPr>
            <w:tcW w:w="1339" w:type="dxa"/>
            <w:vMerge w:val="restart"/>
            <w:tcBorders>
              <w:tl2br w:val="nil"/>
              <w:tr2bl w:val="nil"/>
            </w:tcBorders>
            <w:tcMar>
              <w:top w:w="10" w:type="dxa"/>
              <w:left w:w="10" w:type="dxa"/>
              <w:right w:w="10" w:type="dxa"/>
            </w:tcMar>
            <w:vAlign w:val="center"/>
          </w:tcPr>
          <w:p w14:paraId="64CFF3B2">
            <w:pPr>
              <w:keepNext w:val="0"/>
              <w:keepLines w:val="0"/>
              <w:pageBreakBefore w:val="0"/>
              <w:widowControl/>
              <w:kinsoku/>
              <w:wordWrap/>
              <w:overflowPunct/>
              <w:topLinePunct w:val="0"/>
              <w:autoSpaceDE/>
              <w:autoSpaceDN/>
              <w:bidi w:val="0"/>
              <w:spacing w:line="360" w:lineRule="auto"/>
              <w:jc w:val="center"/>
              <w:textAlignment w:val="center"/>
              <w:rPr>
                <w:rFonts w:hint="eastAsia" w:ascii="宋体" w:hAnsi="宋体" w:eastAsia="宋体" w:cs="宋体"/>
                <w:b/>
                <w:i w:val="0"/>
                <w:iCs w:val="0"/>
                <w:color w:val="auto"/>
                <w:sz w:val="24"/>
                <w:szCs w:val="24"/>
                <w:highlight w:val="none"/>
              </w:rPr>
            </w:pPr>
            <w:r>
              <w:rPr>
                <w:rFonts w:hint="eastAsia" w:ascii="宋体" w:hAnsi="宋体" w:eastAsia="宋体" w:cs="宋体"/>
                <w:b/>
                <w:i w:val="0"/>
                <w:iCs w:val="0"/>
                <w:color w:val="auto"/>
                <w:sz w:val="24"/>
                <w:szCs w:val="24"/>
                <w:highlight w:val="none"/>
                <w:lang w:bidi="ar"/>
              </w:rPr>
              <w:t>评分内容</w:t>
            </w:r>
          </w:p>
        </w:tc>
        <w:tc>
          <w:tcPr>
            <w:tcW w:w="7329" w:type="dxa"/>
            <w:vMerge w:val="restart"/>
            <w:tcBorders>
              <w:tl2br w:val="nil"/>
              <w:tr2bl w:val="nil"/>
            </w:tcBorders>
            <w:tcMar>
              <w:top w:w="10" w:type="dxa"/>
              <w:left w:w="10" w:type="dxa"/>
              <w:right w:w="10" w:type="dxa"/>
            </w:tcMar>
            <w:vAlign w:val="center"/>
          </w:tcPr>
          <w:p w14:paraId="0099D080">
            <w:pPr>
              <w:keepNext w:val="0"/>
              <w:keepLines w:val="0"/>
              <w:pageBreakBefore w:val="0"/>
              <w:widowControl/>
              <w:kinsoku/>
              <w:wordWrap/>
              <w:overflowPunct/>
              <w:topLinePunct w:val="0"/>
              <w:autoSpaceDE/>
              <w:autoSpaceDN/>
              <w:bidi w:val="0"/>
              <w:spacing w:line="360" w:lineRule="auto"/>
              <w:jc w:val="center"/>
              <w:textAlignment w:val="center"/>
              <w:rPr>
                <w:rFonts w:hint="eastAsia" w:ascii="宋体" w:hAnsi="宋体" w:eastAsia="宋体" w:cs="宋体"/>
                <w:b/>
                <w:i w:val="0"/>
                <w:iCs w:val="0"/>
                <w:color w:val="auto"/>
                <w:sz w:val="24"/>
                <w:szCs w:val="24"/>
                <w:highlight w:val="none"/>
              </w:rPr>
            </w:pPr>
            <w:r>
              <w:rPr>
                <w:rFonts w:hint="eastAsia" w:ascii="宋体" w:hAnsi="宋体" w:eastAsia="宋体" w:cs="宋体"/>
                <w:b/>
                <w:i w:val="0"/>
                <w:iCs w:val="0"/>
                <w:color w:val="auto"/>
                <w:sz w:val="24"/>
                <w:szCs w:val="24"/>
                <w:highlight w:val="none"/>
                <w:lang w:bidi="ar"/>
              </w:rPr>
              <w:t>评分标准</w:t>
            </w:r>
          </w:p>
        </w:tc>
      </w:tr>
      <w:tr w14:paraId="3BD28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1040" w:type="dxa"/>
            <w:vMerge w:val="continue"/>
            <w:tcBorders>
              <w:tl2br w:val="nil"/>
              <w:tr2bl w:val="nil"/>
            </w:tcBorders>
            <w:tcMar>
              <w:top w:w="10" w:type="dxa"/>
              <w:left w:w="10" w:type="dxa"/>
              <w:right w:w="10" w:type="dxa"/>
            </w:tcMar>
            <w:vAlign w:val="center"/>
          </w:tcPr>
          <w:p w14:paraId="03C226F4">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b/>
                <w:i w:val="0"/>
                <w:iCs w:val="0"/>
                <w:color w:val="auto"/>
                <w:sz w:val="24"/>
                <w:szCs w:val="24"/>
                <w:highlight w:val="none"/>
              </w:rPr>
            </w:pPr>
          </w:p>
        </w:tc>
        <w:tc>
          <w:tcPr>
            <w:tcW w:w="1339" w:type="dxa"/>
            <w:vMerge w:val="continue"/>
            <w:tcBorders>
              <w:tl2br w:val="nil"/>
              <w:tr2bl w:val="nil"/>
            </w:tcBorders>
            <w:tcMar>
              <w:top w:w="10" w:type="dxa"/>
              <w:left w:w="10" w:type="dxa"/>
              <w:right w:w="10" w:type="dxa"/>
            </w:tcMar>
            <w:vAlign w:val="center"/>
          </w:tcPr>
          <w:p w14:paraId="3B8464D9">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b/>
                <w:i w:val="0"/>
                <w:iCs w:val="0"/>
                <w:color w:val="auto"/>
                <w:sz w:val="24"/>
                <w:szCs w:val="24"/>
                <w:highlight w:val="none"/>
              </w:rPr>
            </w:pPr>
          </w:p>
        </w:tc>
        <w:tc>
          <w:tcPr>
            <w:tcW w:w="7329" w:type="dxa"/>
            <w:vMerge w:val="continue"/>
            <w:tcBorders>
              <w:tl2br w:val="nil"/>
              <w:tr2bl w:val="nil"/>
            </w:tcBorders>
            <w:tcMar>
              <w:top w:w="10" w:type="dxa"/>
              <w:left w:w="10" w:type="dxa"/>
              <w:right w:w="10" w:type="dxa"/>
            </w:tcMar>
            <w:vAlign w:val="center"/>
          </w:tcPr>
          <w:p w14:paraId="66B1AF73">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b/>
                <w:i w:val="0"/>
                <w:iCs w:val="0"/>
                <w:color w:val="auto"/>
                <w:sz w:val="24"/>
                <w:szCs w:val="24"/>
                <w:highlight w:val="none"/>
              </w:rPr>
            </w:pPr>
          </w:p>
        </w:tc>
      </w:tr>
      <w:tr w14:paraId="43AFF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76" w:hRule="atLeast"/>
          <w:jc w:val="center"/>
        </w:trPr>
        <w:tc>
          <w:tcPr>
            <w:tcW w:w="1040" w:type="dxa"/>
            <w:vMerge w:val="continue"/>
            <w:tcBorders>
              <w:tl2br w:val="nil"/>
              <w:tr2bl w:val="nil"/>
            </w:tcBorders>
            <w:shd w:val="clear" w:color="auto" w:fill="auto"/>
            <w:tcMar>
              <w:top w:w="10" w:type="dxa"/>
              <w:left w:w="10" w:type="dxa"/>
              <w:right w:w="10" w:type="dxa"/>
            </w:tcMar>
            <w:vAlign w:val="center"/>
          </w:tcPr>
          <w:p w14:paraId="04134ECA">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i w:val="0"/>
                <w:iCs w:val="0"/>
                <w:color w:val="auto"/>
                <w:sz w:val="24"/>
                <w:szCs w:val="24"/>
                <w:highlight w:val="none"/>
              </w:rPr>
            </w:pPr>
          </w:p>
        </w:tc>
        <w:tc>
          <w:tcPr>
            <w:tcW w:w="1339" w:type="dxa"/>
            <w:tcBorders>
              <w:tl2br w:val="nil"/>
              <w:tr2bl w:val="nil"/>
            </w:tcBorders>
            <w:shd w:val="clear" w:color="auto" w:fill="auto"/>
            <w:tcMar>
              <w:top w:w="10" w:type="dxa"/>
              <w:left w:w="10" w:type="dxa"/>
              <w:right w:w="10" w:type="dxa"/>
            </w:tcMar>
            <w:vAlign w:val="center"/>
          </w:tcPr>
          <w:p w14:paraId="79DF921E">
            <w:pPr>
              <w:pStyle w:val="74"/>
              <w:keepNext w:val="0"/>
              <w:keepLines w:val="0"/>
              <w:pageBreakBefore w:val="0"/>
              <w:kinsoku/>
              <w:wordWrap/>
              <w:overflowPunct/>
              <w:topLinePunct w:val="0"/>
              <w:bidi w:val="0"/>
              <w:spacing w:line="360" w:lineRule="auto"/>
              <w:jc w:val="center"/>
              <w:rPr>
                <w:rFonts w:hint="eastAsia" w:ascii="宋体" w:hAnsi="宋体" w:eastAsia="宋体" w:cs="宋体"/>
                <w:color w:val="000000" w:themeColor="text1"/>
                <w:sz w:val="24"/>
                <w:szCs w:val="24"/>
                <w:lang w:val="en-US" w:eastAsia="zh-CN"/>
                <w14:textFill>
                  <w14:solidFill>
                    <w14:schemeClr w14:val="tx1"/>
                  </w14:solidFill>
                </w14:textFill>
              </w:rPr>
            </w:pPr>
          </w:p>
          <w:p w14:paraId="24F2AE0C">
            <w:pPr>
              <w:pStyle w:val="74"/>
              <w:keepNext w:val="0"/>
              <w:keepLines w:val="0"/>
              <w:pageBreakBefore w:val="0"/>
              <w:kinsoku/>
              <w:wordWrap/>
              <w:overflowPunct/>
              <w:topLinePunct w:val="0"/>
              <w:bidi w:val="0"/>
              <w:spacing w:line="360" w:lineRule="auto"/>
              <w:jc w:val="center"/>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投标报价</w:t>
            </w:r>
          </w:p>
          <w:p w14:paraId="5B8A6476">
            <w:pPr>
              <w:pStyle w:val="74"/>
              <w:keepNext w:val="0"/>
              <w:keepLines w:val="0"/>
              <w:pageBreakBefore w:val="0"/>
              <w:kinsoku/>
              <w:wordWrap/>
              <w:overflowPunct/>
              <w:topLinePunct w:val="0"/>
              <w:bidi w:val="0"/>
              <w:spacing w:line="360" w:lineRule="auto"/>
              <w:jc w:val="center"/>
              <w:rPr>
                <w:rFonts w:hint="eastAsia" w:ascii="宋体" w:hAnsi="宋体" w:eastAsia="宋体" w:cs="宋体"/>
                <w:b/>
                <w:bCs/>
                <w:i w:val="0"/>
                <w:iCs w:val="0"/>
                <w:color w:val="auto"/>
                <w:kern w:val="2"/>
                <w:sz w:val="24"/>
                <w:szCs w:val="24"/>
                <w:highlight w:val="none"/>
                <w:lang w:bidi="ar"/>
              </w:rPr>
            </w:pPr>
            <w:r>
              <w:rPr>
                <w:rFonts w:hint="eastAsia" w:ascii="宋体" w:hAnsi="宋体" w:eastAsia="宋体" w:cs="宋体"/>
                <w:color w:val="000000" w:themeColor="text1"/>
                <w:sz w:val="24"/>
                <w:szCs w:val="24"/>
                <w:lang w:eastAsia="zh-CN"/>
                <w14:textFill>
                  <w14:solidFill>
                    <w14:schemeClr w14:val="tx1"/>
                  </w14:solidFill>
                </w14:textFill>
              </w:rPr>
              <w:t>(满分</w:t>
            </w:r>
            <w:r>
              <w:rPr>
                <w:rFonts w:hint="eastAsia" w:ascii="宋体" w:hAnsi="宋体" w:eastAsia="宋体" w:cs="宋体"/>
                <w:color w:val="000000" w:themeColor="text1"/>
                <w:sz w:val="24"/>
                <w:szCs w:val="24"/>
                <w:lang w:val="en-US" w:eastAsia="zh-CN"/>
                <w14:textFill>
                  <w14:solidFill>
                    <w14:schemeClr w14:val="tx1"/>
                  </w14:solidFill>
                </w14:textFill>
              </w:rPr>
              <w:t>30</w:t>
            </w:r>
            <w:r>
              <w:rPr>
                <w:rFonts w:hint="eastAsia" w:ascii="宋体" w:hAnsi="宋体" w:eastAsia="宋体" w:cs="宋体"/>
                <w:color w:val="000000" w:themeColor="text1"/>
                <w:sz w:val="24"/>
                <w:szCs w:val="24"/>
                <w:lang w:eastAsia="zh-CN"/>
                <w14:textFill>
                  <w14:solidFill>
                    <w14:schemeClr w14:val="tx1"/>
                  </w14:solidFill>
                </w14:textFill>
              </w:rPr>
              <w:t>分)</w:t>
            </w:r>
          </w:p>
        </w:tc>
        <w:tc>
          <w:tcPr>
            <w:tcW w:w="7329" w:type="dxa"/>
            <w:tcBorders>
              <w:tl2br w:val="nil"/>
              <w:tr2bl w:val="nil"/>
            </w:tcBorders>
            <w:shd w:val="clear" w:color="auto" w:fill="FFFFFF"/>
            <w:tcMar>
              <w:top w:w="10" w:type="dxa"/>
              <w:left w:w="10" w:type="dxa"/>
              <w:right w:w="10" w:type="dxa"/>
            </w:tcMar>
            <w:vAlign w:val="center"/>
          </w:tcPr>
          <w:p w14:paraId="3AE45375">
            <w:pPr>
              <w:pStyle w:val="7"/>
              <w:widowControl w:val="0"/>
              <w:jc w:val="both"/>
              <w:rPr>
                <w:rFonts w:hint="eastAsia" w:ascii="宋体" w:hAnsi="宋体" w:cs="宋体"/>
                <w:i w:val="0"/>
                <w:iCs w:val="0"/>
                <w:color w:val="auto"/>
                <w:sz w:val="24"/>
                <w:highlight w:val="none"/>
              </w:rPr>
            </w:pPr>
            <w:r>
              <w:rPr>
                <w:rFonts w:hint="eastAsia" w:ascii="宋体" w:hAnsi="宋体" w:cs="宋体"/>
                <w:i w:val="0"/>
                <w:iCs w:val="0"/>
                <w:color w:val="auto"/>
                <w:sz w:val="24"/>
                <w:highlight w:val="none"/>
              </w:rPr>
              <w:t>报价得分采用低价优先法计算（满分为</w:t>
            </w:r>
            <w:r>
              <w:rPr>
                <w:rFonts w:hint="eastAsia" w:ascii="宋体" w:hAnsi="宋体" w:cs="宋体"/>
                <w:i w:val="0"/>
                <w:iCs w:val="0"/>
                <w:color w:val="auto"/>
                <w:sz w:val="24"/>
                <w:highlight w:val="none"/>
                <w:lang w:val="en-US" w:eastAsia="zh-CN"/>
              </w:rPr>
              <w:t>3</w:t>
            </w:r>
            <w:r>
              <w:rPr>
                <w:rFonts w:hint="eastAsia" w:ascii="宋体" w:hAnsi="宋体" w:cs="宋体"/>
                <w:i w:val="0"/>
                <w:iCs w:val="0"/>
                <w:color w:val="auto"/>
                <w:sz w:val="24"/>
                <w:highlight w:val="none"/>
              </w:rPr>
              <w:t>0分）。</w:t>
            </w:r>
          </w:p>
          <w:p w14:paraId="63275B88">
            <w:pPr>
              <w:pStyle w:val="7"/>
              <w:widowControl w:val="0"/>
              <w:jc w:val="both"/>
              <w:rPr>
                <w:rFonts w:hint="eastAsia" w:ascii="宋体" w:hAnsi="宋体" w:cs="宋体"/>
                <w:i w:val="0"/>
                <w:iCs w:val="0"/>
                <w:color w:val="auto"/>
                <w:sz w:val="24"/>
                <w:highlight w:val="none"/>
              </w:rPr>
            </w:pPr>
            <w:r>
              <w:rPr>
                <w:rFonts w:hint="eastAsia" w:ascii="宋体" w:hAnsi="宋体" w:cs="宋体"/>
                <w:i w:val="0"/>
                <w:iCs w:val="0"/>
                <w:color w:val="auto"/>
                <w:sz w:val="24"/>
                <w:highlight w:val="none"/>
              </w:rPr>
              <w:t>1.</w:t>
            </w:r>
            <w:r>
              <w:rPr>
                <w:rFonts w:hint="eastAsia" w:ascii="宋体" w:hAnsi="宋体" w:cs="宋体"/>
                <w:i w:val="0"/>
                <w:iCs w:val="0"/>
                <w:color w:val="auto"/>
                <w:sz w:val="24"/>
                <w:highlight w:val="none"/>
                <w:lang w:val="en-US" w:eastAsia="zh-CN"/>
              </w:rPr>
              <w:t>评标</w:t>
            </w:r>
            <w:r>
              <w:rPr>
                <w:rFonts w:hint="eastAsia" w:ascii="宋体" w:hAnsi="宋体" w:cs="宋体"/>
                <w:i w:val="0"/>
                <w:iCs w:val="0"/>
                <w:color w:val="auto"/>
                <w:sz w:val="24"/>
                <w:highlight w:val="none"/>
              </w:rPr>
              <w:t>基准价：满足</w:t>
            </w:r>
            <w:r>
              <w:rPr>
                <w:rFonts w:hint="eastAsia" w:ascii="宋体" w:hAnsi="宋体" w:cs="宋体"/>
                <w:i w:val="0"/>
                <w:iCs w:val="0"/>
                <w:color w:val="auto"/>
                <w:sz w:val="24"/>
                <w:highlight w:val="none"/>
                <w:lang w:eastAsia="zh-CN"/>
              </w:rPr>
              <w:t>招标文件</w:t>
            </w:r>
            <w:r>
              <w:rPr>
                <w:rFonts w:hint="eastAsia" w:ascii="宋体" w:hAnsi="宋体" w:cs="宋体"/>
                <w:i w:val="0"/>
                <w:iCs w:val="0"/>
                <w:color w:val="auto"/>
                <w:sz w:val="24"/>
                <w:highlight w:val="none"/>
              </w:rPr>
              <w:t>要求且最终</w:t>
            </w:r>
            <w:r>
              <w:rPr>
                <w:rFonts w:hint="eastAsia" w:ascii="宋体" w:hAnsi="宋体" w:cs="宋体"/>
                <w:i w:val="0"/>
                <w:iCs w:val="0"/>
                <w:color w:val="auto"/>
                <w:sz w:val="24"/>
                <w:highlight w:val="none"/>
                <w:lang w:eastAsia="zh-CN"/>
              </w:rPr>
              <w:t>投标</w:t>
            </w:r>
            <w:r>
              <w:rPr>
                <w:rFonts w:hint="eastAsia" w:ascii="宋体" w:hAnsi="宋体" w:cs="宋体"/>
                <w:i w:val="0"/>
                <w:iCs w:val="0"/>
                <w:color w:val="auto"/>
                <w:sz w:val="24"/>
                <w:highlight w:val="none"/>
              </w:rPr>
              <w:t>报价最低的有效</w:t>
            </w:r>
            <w:r>
              <w:rPr>
                <w:rFonts w:hint="eastAsia" w:ascii="宋体" w:hAnsi="宋体" w:cs="宋体"/>
                <w:i w:val="0"/>
                <w:iCs w:val="0"/>
                <w:color w:val="auto"/>
                <w:sz w:val="24"/>
                <w:highlight w:val="none"/>
                <w:lang w:eastAsia="zh-CN"/>
              </w:rPr>
              <w:t>投标</w:t>
            </w:r>
            <w:r>
              <w:rPr>
                <w:rFonts w:hint="eastAsia" w:ascii="宋体" w:hAnsi="宋体" w:cs="宋体"/>
                <w:i w:val="0"/>
                <w:iCs w:val="0"/>
                <w:color w:val="auto"/>
                <w:sz w:val="24"/>
                <w:highlight w:val="none"/>
              </w:rPr>
              <w:t>响应报价；得分保留小数点后两位。</w:t>
            </w:r>
          </w:p>
          <w:p w14:paraId="1367E5C5">
            <w:pPr>
              <w:pStyle w:val="7"/>
              <w:widowControl w:val="0"/>
              <w:jc w:val="both"/>
              <w:rPr>
                <w:rFonts w:hint="eastAsia" w:ascii="宋体" w:hAnsi="宋体" w:cs="宋体"/>
                <w:i w:val="0"/>
                <w:iCs w:val="0"/>
                <w:color w:val="auto"/>
                <w:sz w:val="24"/>
                <w:highlight w:val="none"/>
              </w:rPr>
            </w:pPr>
            <w:r>
              <w:rPr>
                <w:rFonts w:hint="eastAsia" w:ascii="宋体" w:hAnsi="宋体" w:cs="宋体"/>
                <w:i w:val="0"/>
                <w:iCs w:val="0"/>
                <w:color w:val="auto"/>
                <w:sz w:val="24"/>
                <w:highlight w:val="none"/>
              </w:rPr>
              <w:t>2.得分计算：满足</w:t>
            </w:r>
            <w:r>
              <w:rPr>
                <w:rFonts w:hint="eastAsia" w:ascii="宋体" w:hAnsi="宋体" w:cs="宋体"/>
                <w:i w:val="0"/>
                <w:iCs w:val="0"/>
                <w:color w:val="auto"/>
                <w:sz w:val="24"/>
                <w:highlight w:val="none"/>
                <w:lang w:eastAsia="zh-CN"/>
              </w:rPr>
              <w:t>招标文件</w:t>
            </w:r>
            <w:r>
              <w:rPr>
                <w:rFonts w:hint="eastAsia" w:ascii="宋体" w:hAnsi="宋体" w:cs="宋体"/>
                <w:i w:val="0"/>
                <w:iCs w:val="0"/>
                <w:color w:val="auto"/>
                <w:sz w:val="24"/>
                <w:highlight w:val="none"/>
              </w:rPr>
              <w:t>要求且</w:t>
            </w:r>
            <w:r>
              <w:rPr>
                <w:rFonts w:hint="eastAsia" w:ascii="宋体" w:hAnsi="宋体" w:cs="宋体"/>
                <w:i w:val="0"/>
                <w:iCs w:val="0"/>
                <w:color w:val="auto"/>
                <w:sz w:val="24"/>
                <w:highlight w:val="none"/>
                <w:lang w:eastAsia="zh-CN"/>
              </w:rPr>
              <w:t>投标</w:t>
            </w:r>
            <w:r>
              <w:rPr>
                <w:rFonts w:hint="eastAsia" w:ascii="宋体" w:hAnsi="宋体" w:cs="宋体"/>
                <w:i w:val="0"/>
                <w:iCs w:val="0"/>
                <w:color w:val="auto"/>
                <w:sz w:val="24"/>
                <w:highlight w:val="none"/>
              </w:rPr>
              <w:t>价格最低的有效</w:t>
            </w:r>
            <w:r>
              <w:rPr>
                <w:rFonts w:hint="eastAsia" w:ascii="宋体" w:hAnsi="宋体" w:cs="宋体"/>
                <w:i w:val="0"/>
                <w:iCs w:val="0"/>
                <w:color w:val="auto"/>
                <w:sz w:val="24"/>
                <w:highlight w:val="none"/>
                <w:lang w:eastAsia="zh-CN"/>
              </w:rPr>
              <w:t>投标</w:t>
            </w:r>
            <w:r>
              <w:rPr>
                <w:rFonts w:hint="eastAsia" w:ascii="宋体" w:hAnsi="宋体" w:cs="宋体"/>
                <w:i w:val="0"/>
                <w:iCs w:val="0"/>
                <w:color w:val="auto"/>
                <w:sz w:val="24"/>
                <w:highlight w:val="none"/>
              </w:rPr>
              <w:t>响应报价，其报价分为满分。其他供应商的报价得分统一按照下列公式计算：</w:t>
            </w:r>
          </w:p>
          <w:p w14:paraId="538FF034">
            <w:pPr>
              <w:pStyle w:val="7"/>
              <w:widowControl w:val="0"/>
              <w:jc w:val="both"/>
              <w:rPr>
                <w:rFonts w:hint="eastAsia" w:ascii="宋体" w:hAnsi="宋体" w:eastAsia="宋体" w:cs="宋体"/>
                <w:color w:val="FF0000"/>
                <w:sz w:val="24"/>
                <w:szCs w:val="24"/>
                <w:lang w:val="en-US" w:eastAsia="zh-CN"/>
              </w:rPr>
            </w:pPr>
            <w:r>
              <w:rPr>
                <w:rFonts w:hint="eastAsia" w:ascii="宋体" w:hAnsi="宋体" w:cs="宋体"/>
                <w:i w:val="0"/>
                <w:iCs w:val="0"/>
                <w:color w:val="auto"/>
                <w:sz w:val="24"/>
                <w:highlight w:val="none"/>
                <w:lang w:eastAsia="zh-CN"/>
              </w:rPr>
              <w:t>投标</w:t>
            </w:r>
            <w:r>
              <w:rPr>
                <w:rFonts w:hint="eastAsia" w:ascii="宋体" w:hAnsi="宋体" w:cs="宋体"/>
                <w:i w:val="0"/>
                <w:iCs w:val="0"/>
                <w:color w:val="auto"/>
                <w:sz w:val="24"/>
                <w:highlight w:val="none"/>
              </w:rPr>
              <w:t>报价得分=(</w:t>
            </w:r>
            <w:r>
              <w:rPr>
                <w:rFonts w:hint="eastAsia" w:ascii="宋体" w:hAnsi="宋体" w:cs="宋体"/>
                <w:i w:val="0"/>
                <w:iCs w:val="0"/>
                <w:color w:val="auto"/>
                <w:sz w:val="24"/>
                <w:highlight w:val="none"/>
                <w:lang w:val="en-US" w:eastAsia="zh-CN"/>
              </w:rPr>
              <w:t>评标</w:t>
            </w:r>
            <w:r>
              <w:rPr>
                <w:rFonts w:hint="eastAsia" w:ascii="宋体" w:hAnsi="宋体" w:cs="宋体"/>
                <w:i w:val="0"/>
                <w:iCs w:val="0"/>
                <w:color w:val="auto"/>
                <w:sz w:val="24"/>
                <w:highlight w:val="none"/>
              </w:rPr>
              <w:t>基准价／</w:t>
            </w:r>
            <w:r>
              <w:rPr>
                <w:rFonts w:hint="eastAsia" w:ascii="宋体" w:hAnsi="宋体" w:cs="宋体"/>
                <w:i w:val="0"/>
                <w:iCs w:val="0"/>
                <w:color w:val="auto"/>
                <w:sz w:val="24"/>
                <w:highlight w:val="none"/>
                <w:lang w:eastAsia="zh-CN"/>
              </w:rPr>
              <w:t>投标</w:t>
            </w:r>
            <w:r>
              <w:rPr>
                <w:rFonts w:hint="eastAsia" w:ascii="宋体" w:hAnsi="宋体" w:cs="宋体"/>
                <w:i w:val="0"/>
                <w:iCs w:val="0"/>
                <w:color w:val="auto"/>
                <w:sz w:val="24"/>
                <w:highlight w:val="none"/>
              </w:rPr>
              <w:t>报价)×</w:t>
            </w:r>
            <w:r>
              <w:rPr>
                <w:rFonts w:hint="eastAsia" w:ascii="宋体" w:hAnsi="宋体" w:cs="宋体"/>
                <w:i w:val="0"/>
                <w:iCs w:val="0"/>
                <w:color w:val="auto"/>
                <w:sz w:val="24"/>
                <w:highlight w:val="none"/>
                <w:lang w:val="en-US" w:eastAsia="zh-CN"/>
              </w:rPr>
              <w:t>30。</w:t>
            </w:r>
          </w:p>
        </w:tc>
      </w:tr>
      <w:tr w14:paraId="7CD73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6" w:hRule="atLeast"/>
          <w:jc w:val="center"/>
        </w:trPr>
        <w:tc>
          <w:tcPr>
            <w:tcW w:w="1040" w:type="dxa"/>
            <w:vMerge w:val="restart"/>
            <w:tcBorders>
              <w:tl2br w:val="nil"/>
              <w:tr2bl w:val="nil"/>
            </w:tcBorders>
            <w:tcMar>
              <w:top w:w="10" w:type="dxa"/>
              <w:left w:w="10" w:type="dxa"/>
              <w:right w:w="10" w:type="dxa"/>
            </w:tcMar>
            <w:vAlign w:val="center"/>
          </w:tcPr>
          <w:p w14:paraId="6FED022B">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b/>
                <w:bCs/>
                <w:i w:val="0"/>
                <w:iCs w:val="0"/>
                <w:color w:val="auto"/>
                <w:sz w:val="24"/>
                <w:szCs w:val="24"/>
                <w:highlight w:val="none"/>
                <w:lang w:eastAsia="zh-CN"/>
              </w:rPr>
            </w:pPr>
            <w:r>
              <w:rPr>
                <w:rFonts w:hint="eastAsia" w:ascii="宋体" w:hAnsi="宋体" w:eastAsia="宋体" w:cs="宋体"/>
                <w:b/>
                <w:bCs/>
                <w:i w:val="0"/>
                <w:iCs w:val="0"/>
                <w:color w:val="auto"/>
                <w:sz w:val="24"/>
                <w:szCs w:val="24"/>
                <w:highlight w:val="none"/>
              </w:rPr>
              <w:t>技术部分</w:t>
            </w:r>
            <w:r>
              <w:rPr>
                <w:rFonts w:hint="eastAsia" w:ascii="宋体" w:hAnsi="宋体" w:eastAsia="宋体" w:cs="宋体"/>
                <w:b/>
                <w:bCs/>
                <w:i w:val="0"/>
                <w:iCs w:val="0"/>
                <w:color w:val="auto"/>
                <w:sz w:val="24"/>
                <w:szCs w:val="24"/>
                <w:highlight w:val="none"/>
                <w:lang w:eastAsia="zh-CN"/>
              </w:rPr>
              <w:t>（</w:t>
            </w:r>
            <w:r>
              <w:rPr>
                <w:rFonts w:hint="eastAsia" w:ascii="宋体" w:hAnsi="宋体" w:eastAsia="宋体" w:cs="宋体"/>
                <w:b/>
                <w:bCs/>
                <w:i w:val="0"/>
                <w:iCs w:val="0"/>
                <w:color w:val="auto"/>
                <w:sz w:val="24"/>
                <w:szCs w:val="24"/>
                <w:highlight w:val="none"/>
              </w:rPr>
              <w:t>满分</w:t>
            </w:r>
            <w:r>
              <w:rPr>
                <w:rFonts w:hint="eastAsia" w:ascii="宋体" w:hAnsi="宋体" w:eastAsia="宋体" w:cs="宋体"/>
                <w:b/>
                <w:bCs/>
                <w:i w:val="0"/>
                <w:iCs w:val="0"/>
                <w:color w:val="auto"/>
                <w:sz w:val="24"/>
                <w:szCs w:val="24"/>
                <w:highlight w:val="none"/>
                <w:lang w:val="en-US" w:eastAsia="zh-CN"/>
              </w:rPr>
              <w:t>70</w:t>
            </w:r>
            <w:r>
              <w:rPr>
                <w:rFonts w:hint="eastAsia" w:ascii="宋体" w:hAnsi="宋体" w:eastAsia="宋体" w:cs="宋体"/>
                <w:b/>
                <w:bCs/>
                <w:i w:val="0"/>
                <w:iCs w:val="0"/>
                <w:color w:val="auto"/>
                <w:sz w:val="24"/>
                <w:szCs w:val="24"/>
                <w:highlight w:val="none"/>
              </w:rPr>
              <w:t>分</w:t>
            </w:r>
            <w:r>
              <w:rPr>
                <w:rFonts w:hint="eastAsia" w:ascii="宋体" w:hAnsi="宋体" w:eastAsia="宋体" w:cs="宋体"/>
                <w:b/>
                <w:bCs/>
                <w:i w:val="0"/>
                <w:iCs w:val="0"/>
                <w:color w:val="auto"/>
                <w:sz w:val="24"/>
                <w:szCs w:val="24"/>
                <w:highlight w:val="none"/>
                <w:lang w:eastAsia="zh-CN"/>
              </w:rPr>
              <w:t>）</w:t>
            </w:r>
          </w:p>
        </w:tc>
        <w:tc>
          <w:tcPr>
            <w:tcW w:w="1339" w:type="dxa"/>
            <w:tcBorders>
              <w:tl2br w:val="nil"/>
              <w:tr2bl w:val="nil"/>
            </w:tcBorders>
            <w:tcMar>
              <w:top w:w="10" w:type="dxa"/>
              <w:left w:w="10" w:type="dxa"/>
              <w:right w:w="10" w:type="dxa"/>
            </w:tcMar>
            <w:vAlign w:val="center"/>
          </w:tcPr>
          <w:p w14:paraId="6C0A4BAE">
            <w:pPr>
              <w:keepNext w:val="0"/>
              <w:keepLines w:val="0"/>
              <w:pageBreakBefore w:val="0"/>
              <w:widowControl/>
              <w:kinsoku/>
              <w:wordWrap/>
              <w:overflowPunct/>
              <w:topLinePunct w:val="0"/>
              <w:autoSpaceDE/>
              <w:autoSpaceDN/>
              <w:bidi w:val="0"/>
              <w:adjustRightInd w:val="0"/>
              <w:snapToGrid w:val="0"/>
              <w:spacing w:line="360" w:lineRule="auto"/>
              <w:jc w:val="center"/>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技术参数（</w:t>
            </w:r>
            <w:r>
              <w:rPr>
                <w:rFonts w:hint="eastAsia" w:ascii="宋体" w:hAnsi="宋体" w:cs="宋体"/>
                <w:i w:val="0"/>
                <w:iCs w:val="0"/>
                <w:color w:val="auto"/>
                <w:sz w:val="24"/>
                <w:szCs w:val="24"/>
                <w:highlight w:val="none"/>
                <w:lang w:val="en-US" w:eastAsia="zh-CN"/>
              </w:rPr>
              <w:t>30</w:t>
            </w:r>
            <w:r>
              <w:rPr>
                <w:rFonts w:hint="eastAsia" w:ascii="宋体" w:hAnsi="宋体" w:eastAsia="宋体" w:cs="宋体"/>
                <w:i w:val="0"/>
                <w:iCs w:val="0"/>
                <w:color w:val="auto"/>
                <w:sz w:val="24"/>
                <w:szCs w:val="24"/>
                <w:highlight w:val="none"/>
                <w:lang w:val="en-US" w:eastAsia="zh-CN"/>
              </w:rPr>
              <w:t>分）</w:t>
            </w:r>
          </w:p>
        </w:tc>
        <w:tc>
          <w:tcPr>
            <w:tcW w:w="7329" w:type="dxa"/>
            <w:tcBorders>
              <w:tl2br w:val="nil"/>
              <w:tr2bl w:val="nil"/>
            </w:tcBorders>
            <w:tcMar>
              <w:top w:w="10" w:type="dxa"/>
              <w:left w:w="10" w:type="dxa"/>
              <w:right w:w="10" w:type="dxa"/>
            </w:tcMar>
          </w:tcPr>
          <w:p w14:paraId="7BD8349B">
            <w:pPr>
              <w:spacing w:line="360" w:lineRule="auto"/>
              <w:ind w:firstLine="480" w:firstLineChars="200"/>
              <w:rPr>
                <w:rFonts w:hint="eastAsia" w:ascii="宋体" w:hAnsi="宋体" w:eastAsia="宋体" w:cs="宋体"/>
                <w:i w:val="0"/>
                <w:iCs w:val="0"/>
                <w:color w:val="auto"/>
                <w:sz w:val="24"/>
                <w:szCs w:val="24"/>
                <w:highlight w:val="none"/>
              </w:rPr>
            </w:pPr>
            <w:bookmarkStart w:id="236" w:name="OLE_LINK17"/>
            <w:r>
              <w:rPr>
                <w:rFonts w:hint="eastAsia" w:ascii="宋体" w:hAnsi="宋体" w:eastAsia="宋体" w:cs="宋体"/>
                <w:i w:val="0"/>
                <w:iCs w:val="0"/>
                <w:color w:val="auto"/>
                <w:sz w:val="24"/>
                <w:szCs w:val="24"/>
                <w:highlight w:val="none"/>
              </w:rPr>
              <w:t>根据本项目</w:t>
            </w:r>
            <w:r>
              <w:rPr>
                <w:rFonts w:hint="eastAsia" w:ascii="宋体" w:hAnsi="宋体" w:cs="宋体"/>
                <w:i w:val="0"/>
                <w:iCs w:val="0"/>
                <w:color w:val="auto"/>
                <w:sz w:val="24"/>
                <w:szCs w:val="24"/>
                <w:highlight w:val="none"/>
                <w:lang w:eastAsia="zh-CN"/>
              </w:rPr>
              <w:t>招标</w:t>
            </w:r>
            <w:r>
              <w:rPr>
                <w:rFonts w:hint="eastAsia" w:ascii="宋体" w:hAnsi="宋体" w:eastAsia="宋体" w:cs="宋体"/>
                <w:i w:val="0"/>
                <w:iCs w:val="0"/>
                <w:color w:val="auto"/>
                <w:sz w:val="24"/>
                <w:szCs w:val="24"/>
                <w:highlight w:val="none"/>
              </w:rPr>
              <w:t>文件</w:t>
            </w:r>
            <w:r>
              <w:rPr>
                <w:rFonts w:hint="eastAsia"/>
                <w:b/>
                <w:bCs/>
                <w:color w:val="auto"/>
                <w:sz w:val="24"/>
                <w:highlight w:val="none"/>
                <w:lang w:eastAsia="zh-CN"/>
              </w:rPr>
              <w:t>第五章</w:t>
            </w:r>
            <w:r>
              <w:rPr>
                <w:rFonts w:hint="eastAsia" w:ascii="宋体" w:hAnsi="宋体" w:eastAsia="宋体" w:cs="宋体"/>
                <w:i w:val="0"/>
                <w:iCs w:val="0"/>
                <w:color w:val="auto"/>
                <w:sz w:val="24"/>
                <w:szCs w:val="24"/>
                <w:highlight w:val="none"/>
                <w:lang w:eastAsia="zh-CN"/>
              </w:rPr>
              <w:t>采购内容及要求</w:t>
            </w:r>
            <w:r>
              <w:rPr>
                <w:rFonts w:hint="eastAsia" w:ascii="宋体" w:hAnsi="宋体" w:eastAsia="宋体" w:cs="宋体"/>
                <w:i w:val="0"/>
                <w:iCs w:val="0"/>
                <w:color w:val="auto"/>
                <w:sz w:val="24"/>
                <w:szCs w:val="24"/>
                <w:highlight w:val="none"/>
              </w:rPr>
              <w:t>要求的响应情况进行评分，响应文件的技术参数响应必须与招标文件的技术参数逐条对应：</w:t>
            </w:r>
          </w:p>
          <w:p w14:paraId="6C9A50D8">
            <w:pPr>
              <w:spacing w:line="360" w:lineRule="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 xml:space="preserve"> </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采购需求技术参数</w:t>
            </w:r>
            <w:r>
              <w:rPr>
                <w:rFonts w:hint="eastAsia" w:ascii="宋体" w:hAnsi="宋体" w:eastAsia="宋体" w:cs="宋体"/>
                <w:i w:val="0"/>
                <w:iCs w:val="0"/>
                <w:color w:val="auto"/>
                <w:sz w:val="24"/>
                <w:szCs w:val="24"/>
                <w:highlight w:val="none"/>
                <w:lang w:eastAsia="zh-CN"/>
              </w:rPr>
              <w:t>中带“</w:t>
            </w:r>
            <w:r>
              <w:rPr>
                <w:rFonts w:hint="eastAsia"/>
                <w:sz w:val="24"/>
                <w:szCs w:val="24"/>
              </w:rPr>
              <w:t>*</w:t>
            </w:r>
            <w:r>
              <w:rPr>
                <w:rFonts w:hint="eastAsia" w:ascii="宋体" w:hAnsi="宋体" w:eastAsia="宋体" w:cs="宋体"/>
                <w:i w:val="0"/>
                <w:iCs w:val="0"/>
                <w:color w:val="auto"/>
                <w:sz w:val="24"/>
                <w:szCs w:val="24"/>
                <w:highlight w:val="none"/>
                <w:lang w:eastAsia="zh-CN"/>
              </w:rPr>
              <w:t>”的</w:t>
            </w:r>
            <w:r>
              <w:rPr>
                <w:rFonts w:hint="eastAsia" w:ascii="宋体" w:hAnsi="宋体" w:eastAsia="宋体" w:cs="宋体"/>
                <w:i w:val="0"/>
                <w:iCs w:val="0"/>
                <w:color w:val="auto"/>
                <w:sz w:val="24"/>
                <w:szCs w:val="24"/>
                <w:highlight w:val="none"/>
              </w:rPr>
              <w:t>参数</w:t>
            </w:r>
            <w:r>
              <w:rPr>
                <w:rFonts w:hint="eastAsia" w:ascii="宋体" w:hAnsi="宋体" w:eastAsia="宋体" w:cs="宋体"/>
                <w:i w:val="0"/>
                <w:iCs w:val="0"/>
                <w:color w:val="auto"/>
                <w:sz w:val="24"/>
                <w:szCs w:val="24"/>
                <w:highlight w:val="none"/>
                <w:lang w:eastAsia="zh-CN"/>
              </w:rPr>
              <w:t>为重要要求</w:t>
            </w:r>
            <w:r>
              <w:rPr>
                <w:rFonts w:hint="eastAsia" w:ascii="宋体" w:hAnsi="宋体" w:eastAsia="宋体" w:cs="宋体"/>
                <w:i w:val="0"/>
                <w:iCs w:val="0"/>
                <w:color w:val="auto"/>
                <w:sz w:val="24"/>
                <w:szCs w:val="24"/>
                <w:highlight w:val="none"/>
              </w:rPr>
              <w:t>，不满足一项扣</w:t>
            </w:r>
            <w:r>
              <w:rPr>
                <w:rFonts w:hint="eastAsia" w:ascii="宋体" w:hAnsi="宋体" w:eastAsia="宋体" w:cs="宋体"/>
                <w:i w:val="0"/>
                <w:iCs w:val="0"/>
                <w:color w:val="auto"/>
                <w:sz w:val="24"/>
                <w:szCs w:val="24"/>
                <w:highlight w:val="none"/>
                <w:lang w:val="en-US" w:eastAsia="zh-CN"/>
              </w:rPr>
              <w:t>1.5</w:t>
            </w:r>
            <w:r>
              <w:rPr>
                <w:rFonts w:hint="eastAsia" w:ascii="宋体" w:hAnsi="宋体" w:eastAsia="宋体" w:cs="宋体"/>
                <w:i w:val="0"/>
                <w:iCs w:val="0"/>
                <w:color w:val="auto"/>
                <w:sz w:val="24"/>
                <w:szCs w:val="24"/>
                <w:highlight w:val="none"/>
              </w:rPr>
              <w:t>分，</w:t>
            </w:r>
            <w:r>
              <w:rPr>
                <w:rFonts w:hint="eastAsia" w:ascii="宋体" w:hAnsi="宋体" w:eastAsia="宋体" w:cs="宋体"/>
                <w:i w:val="0"/>
                <w:iCs w:val="0"/>
                <w:color w:val="auto"/>
                <w:sz w:val="24"/>
                <w:szCs w:val="24"/>
                <w:highlight w:val="none"/>
                <w:lang w:eastAsia="zh-CN"/>
              </w:rPr>
              <w:t>未带“</w:t>
            </w:r>
            <w:r>
              <w:rPr>
                <w:rFonts w:hint="eastAsia"/>
                <w:sz w:val="24"/>
                <w:szCs w:val="24"/>
              </w:rPr>
              <w:t>*</w:t>
            </w:r>
            <w:r>
              <w:rPr>
                <w:rFonts w:hint="eastAsia" w:ascii="宋体" w:hAnsi="宋体" w:eastAsia="宋体" w:cs="宋体"/>
                <w:i w:val="0"/>
                <w:iCs w:val="0"/>
                <w:color w:val="auto"/>
                <w:sz w:val="24"/>
                <w:szCs w:val="24"/>
                <w:highlight w:val="none"/>
                <w:lang w:eastAsia="zh-CN"/>
              </w:rPr>
              <w:t>”的参数为一般参数，</w:t>
            </w:r>
            <w:r>
              <w:rPr>
                <w:rFonts w:hint="eastAsia" w:ascii="宋体" w:hAnsi="宋体" w:eastAsia="宋体" w:cs="宋体"/>
                <w:i w:val="0"/>
                <w:iCs w:val="0"/>
                <w:color w:val="auto"/>
                <w:sz w:val="24"/>
                <w:szCs w:val="24"/>
                <w:highlight w:val="none"/>
              </w:rPr>
              <w:t>不满足一项扣</w:t>
            </w:r>
            <w:r>
              <w:rPr>
                <w:rFonts w:hint="eastAsia" w:ascii="宋体" w:hAnsi="宋体" w:eastAsia="宋体" w:cs="宋体"/>
                <w:i w:val="0"/>
                <w:iCs w:val="0"/>
                <w:color w:val="auto"/>
                <w:sz w:val="24"/>
                <w:szCs w:val="24"/>
                <w:highlight w:val="none"/>
                <w:lang w:val="en-US" w:eastAsia="zh-CN"/>
              </w:rPr>
              <w:t>0.2</w:t>
            </w:r>
            <w:r>
              <w:rPr>
                <w:rFonts w:hint="eastAsia" w:ascii="宋体" w:hAnsi="宋体" w:eastAsia="宋体" w:cs="宋体"/>
                <w:i w:val="0"/>
                <w:iCs w:val="0"/>
                <w:color w:val="auto"/>
                <w:sz w:val="24"/>
                <w:szCs w:val="24"/>
                <w:highlight w:val="none"/>
              </w:rPr>
              <w:t>分数</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扣完为止</w:t>
            </w:r>
            <w:r>
              <w:rPr>
                <w:rFonts w:hint="eastAsia" w:ascii="宋体" w:hAnsi="宋体" w:eastAsia="宋体" w:cs="宋体"/>
                <w:i w:val="0"/>
                <w:iCs w:val="0"/>
                <w:color w:val="auto"/>
                <w:sz w:val="24"/>
                <w:szCs w:val="24"/>
                <w:highlight w:val="none"/>
                <w:lang w:eastAsia="zh-CN"/>
              </w:rPr>
              <w:t>。</w:t>
            </w:r>
          </w:p>
          <w:p w14:paraId="54F65A91">
            <w:pPr>
              <w:pStyle w:val="17"/>
              <w:keepNext w:val="0"/>
              <w:keepLines w:val="0"/>
              <w:pageBreakBefore w:val="0"/>
              <w:widowControl/>
              <w:kinsoku/>
              <w:wordWrap/>
              <w:overflowPunct/>
              <w:topLinePunct w:val="0"/>
              <w:autoSpaceDE/>
              <w:autoSpaceDN/>
              <w:bidi w:val="0"/>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投标文件中必须提供最新技术支持资料支持技术参数（包括投标产品技术白皮书或检测报告或图纸或印刷宣传彩页等，不接受投标人自行印刷、打印或者手写的技术支持资料，凡不符合上述要求的，视为无效技术支持资料），若投标文件中技术支持资料参数与技术规格偏离表应答不符或无支持资料应答，而投标人又未在投标文件中作出说明和解释的，视为不响应该条技术参数要求</w:t>
            </w:r>
            <w:r>
              <w:rPr>
                <w:rFonts w:hint="eastAsia" w:ascii="宋体" w:hAnsi="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eastAsia="zh-CN"/>
              </w:rPr>
              <w:t>不实事求是填写技术规格偏离表或提供虚假支撑材料的，视为虚假应标，评标委员会将否决其投标</w:t>
            </w:r>
            <w:r>
              <w:rPr>
                <w:rFonts w:hint="eastAsia" w:ascii="宋体" w:hAnsi="宋体" w:eastAsia="宋体" w:cs="宋体"/>
                <w:i w:val="0"/>
                <w:iCs w:val="0"/>
                <w:color w:val="auto"/>
                <w:sz w:val="24"/>
                <w:szCs w:val="24"/>
                <w:highlight w:val="none"/>
              </w:rPr>
              <w:t>。</w:t>
            </w:r>
          </w:p>
          <w:p w14:paraId="3FBBB99F">
            <w:pPr>
              <w:pStyle w:val="17"/>
              <w:keepNext w:val="0"/>
              <w:keepLines w:val="0"/>
              <w:pageBreakBefore w:val="0"/>
              <w:widowControl/>
              <w:kinsoku/>
              <w:wordWrap/>
              <w:overflowPunct/>
              <w:topLinePunct w:val="0"/>
              <w:autoSpaceDE/>
              <w:autoSpaceDN/>
              <w:bidi w:val="0"/>
              <w:spacing w:line="360" w:lineRule="auto"/>
              <w:rPr>
                <w:rFonts w:hint="eastAsia" w:ascii="宋体" w:hAnsi="宋体" w:eastAsia="宋体" w:cs="宋体"/>
                <w:i w:val="0"/>
                <w:iCs w:val="0"/>
                <w:color w:val="auto"/>
                <w:sz w:val="24"/>
                <w:szCs w:val="24"/>
                <w:highlight w:val="none"/>
              </w:rPr>
            </w:pPr>
            <w:r>
              <w:rPr>
                <w:rFonts w:hint="eastAsia"/>
                <w:b/>
                <w:bCs/>
                <w:color w:val="auto"/>
                <w:sz w:val="24"/>
                <w:highlight w:val="none"/>
              </w:rPr>
              <w:t>注：此项内容评审参照</w:t>
            </w:r>
            <w:r>
              <w:rPr>
                <w:rFonts w:hint="eastAsia"/>
                <w:b/>
                <w:bCs/>
                <w:color w:val="auto"/>
                <w:sz w:val="24"/>
                <w:highlight w:val="none"/>
                <w:lang w:eastAsia="zh-CN"/>
              </w:rPr>
              <w:t>招标文件第五章 《采购内容及</w:t>
            </w:r>
            <w:r>
              <w:rPr>
                <w:rFonts w:hint="eastAsia"/>
                <w:b/>
                <w:bCs/>
                <w:color w:val="auto"/>
                <w:sz w:val="24"/>
                <w:highlight w:val="none"/>
              </w:rPr>
              <w:t>要求</w:t>
            </w:r>
            <w:r>
              <w:rPr>
                <w:rFonts w:hint="eastAsia"/>
                <w:b/>
                <w:bCs/>
                <w:color w:val="auto"/>
                <w:sz w:val="24"/>
                <w:highlight w:val="none"/>
                <w:lang w:eastAsia="zh-CN"/>
              </w:rPr>
              <w:t>》</w:t>
            </w:r>
            <w:r>
              <w:rPr>
                <w:rFonts w:hint="eastAsia"/>
                <w:b/>
                <w:bCs/>
                <w:color w:val="auto"/>
                <w:sz w:val="24"/>
                <w:highlight w:val="none"/>
              </w:rPr>
              <w:t>提供相关证明材料，未提供相关证明材料的，此项内容评审不得分</w:t>
            </w:r>
            <w:r>
              <w:rPr>
                <w:rFonts w:hint="eastAsia"/>
                <w:b/>
                <w:bCs/>
                <w:color w:val="auto"/>
                <w:sz w:val="24"/>
                <w:highlight w:val="none"/>
                <w:lang w:eastAsia="zh-CN"/>
              </w:rPr>
              <w:t>。</w:t>
            </w:r>
            <w:bookmarkEnd w:id="236"/>
          </w:p>
        </w:tc>
      </w:tr>
      <w:tr w14:paraId="03B9D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6" w:hRule="atLeast"/>
          <w:jc w:val="center"/>
        </w:trPr>
        <w:tc>
          <w:tcPr>
            <w:tcW w:w="1040" w:type="dxa"/>
            <w:vMerge w:val="continue"/>
            <w:tcBorders>
              <w:tl2br w:val="nil"/>
              <w:tr2bl w:val="nil"/>
            </w:tcBorders>
            <w:tcMar>
              <w:top w:w="10" w:type="dxa"/>
              <w:left w:w="10" w:type="dxa"/>
              <w:right w:w="10" w:type="dxa"/>
            </w:tcMar>
            <w:vAlign w:val="center"/>
          </w:tcPr>
          <w:p w14:paraId="16322B0E">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b/>
                <w:bCs/>
                <w:i w:val="0"/>
                <w:iCs w:val="0"/>
                <w:color w:val="auto"/>
                <w:sz w:val="24"/>
                <w:szCs w:val="24"/>
                <w:highlight w:val="none"/>
              </w:rPr>
            </w:pPr>
          </w:p>
        </w:tc>
        <w:tc>
          <w:tcPr>
            <w:tcW w:w="1339" w:type="dxa"/>
            <w:tcBorders>
              <w:tl2br w:val="nil"/>
              <w:tr2bl w:val="nil"/>
            </w:tcBorders>
            <w:tcMar>
              <w:top w:w="10" w:type="dxa"/>
              <w:left w:w="10" w:type="dxa"/>
              <w:right w:w="10" w:type="dxa"/>
            </w:tcMar>
            <w:vAlign w:val="center"/>
          </w:tcPr>
          <w:p w14:paraId="60694A4F">
            <w:pPr>
              <w:keepNext w:val="0"/>
              <w:keepLines w:val="0"/>
              <w:pageBreakBefore w:val="0"/>
              <w:widowControl/>
              <w:kinsoku/>
              <w:wordWrap/>
              <w:overflowPunct/>
              <w:topLinePunct w:val="0"/>
              <w:autoSpaceDE/>
              <w:autoSpaceDN/>
              <w:bidi w:val="0"/>
              <w:adjustRightInd w:val="0"/>
              <w:snapToGrid w:val="0"/>
              <w:spacing w:line="360" w:lineRule="auto"/>
              <w:jc w:val="center"/>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项目实施及技术培训方案评审（20分）</w:t>
            </w:r>
          </w:p>
        </w:tc>
        <w:tc>
          <w:tcPr>
            <w:tcW w:w="7329" w:type="dxa"/>
            <w:tcBorders>
              <w:tl2br w:val="nil"/>
              <w:tr2bl w:val="nil"/>
            </w:tcBorders>
            <w:tcMar>
              <w:top w:w="10" w:type="dxa"/>
              <w:left w:w="10" w:type="dxa"/>
              <w:right w:w="10" w:type="dxa"/>
            </w:tcMar>
            <w:vAlign w:val="top"/>
          </w:tcPr>
          <w:p w14:paraId="75885619">
            <w:pPr>
              <w:pStyle w:val="17"/>
              <w:keepNext w:val="0"/>
              <w:keepLines w:val="0"/>
              <w:pageBreakBefore w:val="0"/>
              <w:widowControl/>
              <w:kinsoku/>
              <w:wordWrap/>
              <w:overflowPunct/>
              <w:topLinePunct w:val="0"/>
              <w:autoSpaceDE/>
              <w:autoSpaceDN/>
              <w:bidi w:val="0"/>
              <w:spacing w:line="360" w:lineRule="auto"/>
              <w:ind w:firstLine="480" w:firstLineChars="200"/>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bidi="ar-SA"/>
              </w:rPr>
              <w:t>（</w:t>
            </w:r>
            <w:r>
              <w:rPr>
                <w:rFonts w:hint="eastAsia" w:ascii="宋体" w:hAnsi="宋体" w:eastAsia="宋体" w:cs="宋体"/>
                <w:i w:val="0"/>
                <w:iCs w:val="0"/>
                <w:color w:val="auto"/>
                <w:sz w:val="24"/>
                <w:szCs w:val="24"/>
                <w:highlight w:val="none"/>
                <w:lang w:val="en-US" w:eastAsia="zh-CN"/>
              </w:rPr>
              <w:t>1）实施方案（含交货方案及时间进度计划等）内容全面、充分理解项目需求、思路清晰，方案科学、详细、操作性、针对性、适用性强的，得16～20分；</w:t>
            </w:r>
          </w:p>
          <w:p w14:paraId="661CCECC">
            <w:pPr>
              <w:pStyle w:val="17"/>
              <w:keepNext w:val="0"/>
              <w:keepLines w:val="0"/>
              <w:pageBreakBefore w:val="0"/>
              <w:widowControl/>
              <w:kinsoku/>
              <w:wordWrap/>
              <w:overflowPunct/>
              <w:topLinePunct w:val="0"/>
              <w:autoSpaceDE/>
              <w:autoSpaceDN/>
              <w:bidi w:val="0"/>
              <w:spacing w:line="360" w:lineRule="auto"/>
              <w:ind w:firstLine="480" w:firstLineChars="200"/>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（2）实施方案内容（含交货方案及时间进度计划等）基本全面、理解项目需求、思路清晰，方案可行、操作性、针对性、适用性一般的，得11～15分；</w:t>
            </w:r>
          </w:p>
          <w:p w14:paraId="4359F394">
            <w:pPr>
              <w:pStyle w:val="17"/>
              <w:keepNext w:val="0"/>
              <w:keepLines w:val="0"/>
              <w:pageBreakBefore w:val="0"/>
              <w:widowControl/>
              <w:kinsoku/>
              <w:wordWrap/>
              <w:overflowPunct/>
              <w:topLinePunct w:val="0"/>
              <w:autoSpaceDE/>
              <w:autoSpaceDN/>
              <w:bidi w:val="0"/>
              <w:spacing w:line="360" w:lineRule="auto"/>
              <w:ind w:firstLine="480" w:firstLineChars="200"/>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（3）实施方案内容（含交货方案及时间进度计划等）欠佳、基本理解项目需求、思路基本清晰，方案缺乏操作性、针对性、适用性的，得6～10分；</w:t>
            </w:r>
          </w:p>
          <w:p w14:paraId="5A9E57FA">
            <w:pPr>
              <w:pStyle w:val="17"/>
              <w:keepNext w:val="0"/>
              <w:keepLines w:val="0"/>
              <w:pageBreakBefore w:val="0"/>
              <w:widowControl/>
              <w:kinsoku/>
              <w:wordWrap/>
              <w:overflowPunct/>
              <w:topLinePunct w:val="0"/>
              <w:autoSpaceDE/>
              <w:autoSpaceDN/>
              <w:bidi w:val="0"/>
              <w:spacing w:line="360" w:lineRule="auto"/>
              <w:ind w:firstLine="480" w:firstLineChars="200"/>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（4）实施方案内容（含交货方案及时间进度计划等）不全面、不理解项目需求、思路不清晰，方案无操作性、针对性、适用性的，得1～5分。</w:t>
            </w:r>
          </w:p>
          <w:p w14:paraId="1C55DEB8">
            <w:pPr>
              <w:pStyle w:val="17"/>
              <w:keepNext w:val="0"/>
              <w:keepLines w:val="0"/>
              <w:pageBreakBefore w:val="0"/>
              <w:widowControl/>
              <w:kinsoku/>
              <w:wordWrap/>
              <w:overflowPunct/>
              <w:topLinePunct w:val="0"/>
              <w:autoSpaceDE/>
              <w:autoSpaceDN/>
              <w:bidi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i w:val="0"/>
                <w:iCs w:val="0"/>
                <w:color w:val="auto"/>
                <w:sz w:val="24"/>
                <w:szCs w:val="24"/>
                <w:highlight w:val="none"/>
                <w:lang w:val="en-US" w:eastAsia="zh-CN"/>
              </w:rPr>
              <w:t>（5）未提供实施方案的，不得分。</w:t>
            </w:r>
          </w:p>
        </w:tc>
      </w:tr>
      <w:tr w14:paraId="52FF8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24" w:hRule="atLeast"/>
          <w:jc w:val="center"/>
        </w:trPr>
        <w:tc>
          <w:tcPr>
            <w:tcW w:w="1040" w:type="dxa"/>
            <w:vMerge w:val="continue"/>
            <w:tcBorders>
              <w:tl2br w:val="nil"/>
              <w:tr2bl w:val="nil"/>
            </w:tcBorders>
            <w:tcMar>
              <w:top w:w="10" w:type="dxa"/>
              <w:left w:w="10" w:type="dxa"/>
              <w:right w:w="10" w:type="dxa"/>
            </w:tcMar>
            <w:vAlign w:val="center"/>
          </w:tcPr>
          <w:p w14:paraId="25CC6F69">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b/>
                <w:bCs/>
                <w:i w:val="0"/>
                <w:iCs w:val="0"/>
                <w:color w:val="auto"/>
                <w:sz w:val="24"/>
                <w:szCs w:val="24"/>
                <w:highlight w:val="none"/>
              </w:rPr>
            </w:pPr>
          </w:p>
        </w:tc>
        <w:tc>
          <w:tcPr>
            <w:tcW w:w="1339" w:type="dxa"/>
            <w:tcBorders>
              <w:tl2br w:val="nil"/>
              <w:tr2bl w:val="nil"/>
            </w:tcBorders>
            <w:tcMar>
              <w:top w:w="10" w:type="dxa"/>
              <w:left w:w="10" w:type="dxa"/>
              <w:right w:w="10" w:type="dxa"/>
            </w:tcMar>
            <w:vAlign w:val="center"/>
          </w:tcPr>
          <w:p w14:paraId="16A15308">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质量承诺及保证措施</w:t>
            </w:r>
          </w:p>
          <w:p w14:paraId="501EDFBC">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b/>
                <w:bCs/>
                <w:i w:val="0"/>
                <w:iCs w:val="0"/>
                <w:color w:val="auto"/>
                <w:sz w:val="24"/>
                <w:szCs w:val="24"/>
                <w:highlight w:val="none"/>
              </w:rPr>
            </w:pP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10分</w:t>
            </w:r>
            <w:r>
              <w:rPr>
                <w:rFonts w:hint="eastAsia" w:ascii="宋体" w:hAnsi="宋体" w:eastAsia="宋体" w:cs="宋体"/>
                <w:color w:val="000000"/>
                <w:sz w:val="24"/>
                <w:szCs w:val="24"/>
                <w:highlight w:val="none"/>
                <w:lang w:eastAsia="zh-CN"/>
              </w:rPr>
              <w:t>）</w:t>
            </w:r>
          </w:p>
        </w:tc>
        <w:tc>
          <w:tcPr>
            <w:tcW w:w="7329" w:type="dxa"/>
            <w:tcBorders>
              <w:tl2br w:val="nil"/>
              <w:tr2bl w:val="nil"/>
            </w:tcBorders>
            <w:tcMar>
              <w:top w:w="10" w:type="dxa"/>
              <w:left w:w="10" w:type="dxa"/>
              <w:right w:w="10" w:type="dxa"/>
            </w:tcMar>
            <w:vAlign w:val="center"/>
          </w:tcPr>
          <w:p w14:paraId="307687C6">
            <w:pPr>
              <w:keepNext w:val="0"/>
              <w:keepLines w:val="0"/>
              <w:pageBreakBefore w:val="0"/>
              <w:widowControl/>
              <w:kinsoku/>
              <w:wordWrap/>
              <w:overflowPunct/>
              <w:topLinePunct w:val="0"/>
              <w:autoSpaceDE/>
              <w:autoSpaceDN/>
              <w:bidi w:val="0"/>
              <w:spacing w:line="360" w:lineRule="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lang w:val="en-US" w:eastAsia="zh-CN"/>
              </w:rPr>
              <w:t>1</w:t>
            </w:r>
            <w:r>
              <w:rPr>
                <w:rFonts w:hint="eastAsia" w:ascii="宋体" w:hAnsi="宋体" w:eastAsia="宋体" w:cs="宋体"/>
                <w:bCs/>
                <w:color w:val="000000"/>
                <w:sz w:val="24"/>
                <w:szCs w:val="24"/>
                <w:highlight w:val="none"/>
                <w:lang w:eastAsia="zh-CN"/>
              </w:rPr>
              <w:t>）质量承诺及保证措施</w:t>
            </w:r>
            <w:r>
              <w:rPr>
                <w:rFonts w:hint="eastAsia" w:ascii="宋体" w:hAnsi="宋体" w:eastAsia="宋体" w:cs="宋体"/>
                <w:bCs/>
                <w:color w:val="000000"/>
                <w:sz w:val="24"/>
                <w:szCs w:val="24"/>
                <w:highlight w:val="none"/>
              </w:rPr>
              <w:t>内容详细、具体、科学、合理可行，针对性强，能切实解决货物使用时可能发生的问题的</w:t>
            </w:r>
            <w:r>
              <w:rPr>
                <w:rFonts w:hint="eastAsia" w:ascii="宋体" w:hAnsi="宋体" w:cs="宋体"/>
                <w:bCs/>
                <w:color w:val="000000"/>
                <w:sz w:val="24"/>
                <w:szCs w:val="24"/>
                <w:highlight w:val="none"/>
                <w:lang w:val="en-US" w:eastAsia="zh-CN"/>
              </w:rPr>
              <w:t>的得</w:t>
            </w:r>
            <w:r>
              <w:rPr>
                <w:rFonts w:hint="eastAsia" w:ascii="宋体" w:hAnsi="宋体" w:eastAsia="宋体" w:cs="宋体"/>
                <w:bCs/>
                <w:color w:val="000000"/>
                <w:sz w:val="24"/>
                <w:szCs w:val="24"/>
                <w:highlight w:val="none"/>
                <w:lang w:val="en-US" w:eastAsia="zh-CN"/>
              </w:rPr>
              <w:t>8</w:t>
            </w:r>
            <w:r>
              <w:rPr>
                <w:rFonts w:hint="eastAsia" w:ascii="宋体" w:hAnsi="宋体" w:eastAsia="宋体" w:cs="宋体"/>
                <w:bCs/>
                <w:color w:val="000000"/>
                <w:sz w:val="24"/>
                <w:szCs w:val="24"/>
                <w:highlight w:val="none"/>
              </w:rPr>
              <w:t>～1</w:t>
            </w:r>
            <w:r>
              <w:rPr>
                <w:rFonts w:hint="eastAsia" w:ascii="宋体" w:hAnsi="宋体" w:eastAsia="宋体" w:cs="宋体"/>
                <w:bCs/>
                <w:color w:val="000000"/>
                <w:sz w:val="24"/>
                <w:szCs w:val="24"/>
                <w:highlight w:val="none"/>
                <w:lang w:val="en-US" w:eastAsia="zh-CN"/>
              </w:rPr>
              <w:t>0</w:t>
            </w:r>
            <w:r>
              <w:rPr>
                <w:rFonts w:hint="eastAsia" w:ascii="宋体" w:hAnsi="宋体" w:eastAsia="宋体" w:cs="宋体"/>
                <w:bCs/>
                <w:color w:val="000000"/>
                <w:sz w:val="24"/>
                <w:szCs w:val="24"/>
                <w:highlight w:val="none"/>
              </w:rPr>
              <w:t>分</w:t>
            </w:r>
          </w:p>
          <w:p w14:paraId="45C40F91">
            <w:pPr>
              <w:keepNext w:val="0"/>
              <w:keepLines w:val="0"/>
              <w:pageBreakBefore w:val="0"/>
              <w:widowControl/>
              <w:kinsoku/>
              <w:wordWrap/>
              <w:overflowPunct/>
              <w:topLinePunct w:val="0"/>
              <w:autoSpaceDE/>
              <w:autoSpaceDN/>
              <w:bidi w:val="0"/>
              <w:spacing w:line="360" w:lineRule="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lang w:val="en-US" w:eastAsia="zh-CN"/>
              </w:rPr>
              <w:t>2</w:t>
            </w:r>
            <w:r>
              <w:rPr>
                <w:rFonts w:hint="eastAsia" w:ascii="宋体" w:hAnsi="宋体" w:eastAsia="宋体" w:cs="宋体"/>
                <w:bCs/>
                <w:color w:val="000000"/>
                <w:sz w:val="24"/>
                <w:szCs w:val="24"/>
                <w:highlight w:val="none"/>
                <w:lang w:eastAsia="zh-CN"/>
              </w:rPr>
              <w:t>）质量承诺及保证措施</w:t>
            </w:r>
            <w:r>
              <w:rPr>
                <w:rFonts w:hint="eastAsia" w:ascii="宋体" w:hAnsi="宋体" w:eastAsia="宋体" w:cs="宋体"/>
                <w:bCs/>
                <w:color w:val="000000"/>
                <w:sz w:val="24"/>
                <w:szCs w:val="24"/>
                <w:highlight w:val="none"/>
              </w:rPr>
              <w:t>内容合理可行，但是不具体、缺乏针对性，基本能解决货物使用时可能发生的问题的</w:t>
            </w:r>
            <w:r>
              <w:rPr>
                <w:rFonts w:hint="eastAsia" w:ascii="宋体" w:hAnsi="宋体" w:cs="宋体"/>
                <w:bCs/>
                <w:color w:val="000000"/>
                <w:sz w:val="24"/>
                <w:szCs w:val="24"/>
                <w:highlight w:val="none"/>
                <w:lang w:val="en-US" w:eastAsia="zh-CN"/>
              </w:rPr>
              <w:t>的得</w:t>
            </w:r>
            <w:r>
              <w:rPr>
                <w:rFonts w:hint="eastAsia" w:ascii="宋体" w:hAnsi="宋体" w:eastAsia="宋体" w:cs="宋体"/>
                <w:bCs/>
                <w:color w:val="000000"/>
                <w:sz w:val="24"/>
                <w:szCs w:val="24"/>
                <w:highlight w:val="none"/>
                <w:lang w:val="en-US" w:eastAsia="zh-CN"/>
              </w:rPr>
              <w:t>5</w:t>
            </w:r>
            <w:r>
              <w:rPr>
                <w:rFonts w:hint="eastAsia" w:ascii="宋体" w:hAnsi="宋体" w:eastAsia="宋体" w:cs="宋体"/>
                <w:bCs/>
                <w:color w:val="000000"/>
                <w:sz w:val="24"/>
                <w:szCs w:val="24"/>
                <w:highlight w:val="none"/>
              </w:rPr>
              <w:t>～</w:t>
            </w:r>
            <w:r>
              <w:rPr>
                <w:rFonts w:hint="eastAsia" w:ascii="宋体" w:hAnsi="宋体" w:eastAsia="宋体" w:cs="宋体"/>
                <w:bCs/>
                <w:color w:val="000000"/>
                <w:sz w:val="24"/>
                <w:szCs w:val="24"/>
                <w:highlight w:val="none"/>
                <w:lang w:val="en-US" w:eastAsia="zh-CN"/>
              </w:rPr>
              <w:t>7</w:t>
            </w:r>
            <w:r>
              <w:rPr>
                <w:rFonts w:hint="eastAsia" w:ascii="宋体" w:hAnsi="宋体" w:eastAsia="宋体" w:cs="宋体"/>
                <w:bCs/>
                <w:color w:val="000000"/>
                <w:sz w:val="24"/>
                <w:szCs w:val="24"/>
                <w:highlight w:val="none"/>
              </w:rPr>
              <w:t>分</w:t>
            </w:r>
          </w:p>
          <w:p w14:paraId="52EFAF49">
            <w:pPr>
              <w:keepNext w:val="0"/>
              <w:keepLines w:val="0"/>
              <w:pageBreakBefore w:val="0"/>
              <w:widowControl/>
              <w:kinsoku/>
              <w:wordWrap/>
              <w:overflowPunct/>
              <w:topLinePunct w:val="0"/>
              <w:autoSpaceDE/>
              <w:autoSpaceDN/>
              <w:bidi w:val="0"/>
              <w:spacing w:line="360" w:lineRule="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lang w:val="en-US" w:eastAsia="zh-CN"/>
              </w:rPr>
              <w:t>3</w:t>
            </w:r>
            <w:r>
              <w:rPr>
                <w:rFonts w:hint="eastAsia" w:ascii="宋体" w:hAnsi="宋体" w:eastAsia="宋体" w:cs="宋体"/>
                <w:bCs/>
                <w:color w:val="000000"/>
                <w:sz w:val="24"/>
                <w:szCs w:val="24"/>
                <w:highlight w:val="none"/>
                <w:lang w:eastAsia="zh-CN"/>
              </w:rPr>
              <w:t>）质量承诺及保证措施</w:t>
            </w:r>
            <w:r>
              <w:rPr>
                <w:rFonts w:hint="eastAsia" w:ascii="宋体" w:hAnsi="宋体" w:eastAsia="宋体" w:cs="宋体"/>
                <w:bCs/>
                <w:color w:val="000000"/>
                <w:sz w:val="24"/>
                <w:szCs w:val="24"/>
                <w:highlight w:val="none"/>
              </w:rPr>
              <w:t>内容</w:t>
            </w:r>
            <w:r>
              <w:rPr>
                <w:rFonts w:hint="eastAsia" w:ascii="宋体" w:hAnsi="宋体" w:eastAsia="宋体" w:cs="宋体"/>
                <w:bCs/>
                <w:color w:val="000000"/>
                <w:sz w:val="24"/>
                <w:szCs w:val="24"/>
                <w:highlight w:val="none"/>
                <w:lang w:val="en-US" w:eastAsia="zh-CN"/>
              </w:rPr>
              <w:t>不完整</w:t>
            </w:r>
            <w:r>
              <w:rPr>
                <w:rFonts w:hint="eastAsia" w:ascii="宋体" w:hAnsi="宋体" w:eastAsia="宋体" w:cs="宋体"/>
                <w:bCs/>
                <w:color w:val="000000"/>
                <w:sz w:val="24"/>
                <w:szCs w:val="24"/>
                <w:highlight w:val="none"/>
              </w:rPr>
              <w:t>、不具体，无针对性，</w:t>
            </w:r>
            <w:r>
              <w:rPr>
                <w:rFonts w:hint="eastAsia" w:ascii="宋体" w:hAnsi="宋体" w:eastAsia="宋体" w:cs="宋体"/>
                <w:bCs/>
                <w:color w:val="000000"/>
                <w:sz w:val="24"/>
                <w:szCs w:val="24"/>
                <w:highlight w:val="none"/>
                <w:lang w:val="en-US" w:eastAsia="zh-CN"/>
              </w:rPr>
              <w:t>难以</w:t>
            </w:r>
            <w:r>
              <w:rPr>
                <w:rFonts w:hint="eastAsia" w:ascii="宋体" w:hAnsi="宋体" w:eastAsia="宋体" w:cs="宋体"/>
                <w:bCs/>
                <w:color w:val="000000"/>
                <w:sz w:val="24"/>
                <w:szCs w:val="24"/>
                <w:highlight w:val="none"/>
              </w:rPr>
              <w:t>解决货物使用时可能发生的问题的</w:t>
            </w:r>
            <w:r>
              <w:rPr>
                <w:rFonts w:hint="eastAsia" w:ascii="宋体" w:hAnsi="宋体" w:cs="宋体"/>
                <w:bCs/>
                <w:color w:val="000000"/>
                <w:sz w:val="24"/>
                <w:szCs w:val="24"/>
                <w:highlight w:val="none"/>
                <w:lang w:val="en-US" w:eastAsia="zh-CN"/>
              </w:rPr>
              <w:t>的得</w:t>
            </w:r>
            <w:r>
              <w:rPr>
                <w:rFonts w:hint="eastAsia" w:ascii="宋体" w:hAnsi="宋体" w:eastAsia="宋体" w:cs="宋体"/>
                <w:bCs/>
                <w:color w:val="000000"/>
                <w:sz w:val="24"/>
                <w:szCs w:val="24"/>
                <w:highlight w:val="none"/>
                <w:lang w:val="en-US" w:eastAsia="zh-CN"/>
              </w:rPr>
              <w:t>2</w:t>
            </w:r>
            <w:r>
              <w:rPr>
                <w:rFonts w:hint="eastAsia" w:ascii="宋体" w:hAnsi="宋体" w:eastAsia="宋体" w:cs="宋体"/>
                <w:bCs/>
                <w:color w:val="000000"/>
                <w:sz w:val="24"/>
                <w:szCs w:val="24"/>
                <w:highlight w:val="none"/>
              </w:rPr>
              <w:t>～</w:t>
            </w:r>
            <w:r>
              <w:rPr>
                <w:rFonts w:hint="eastAsia" w:ascii="宋体" w:hAnsi="宋体" w:eastAsia="宋体" w:cs="宋体"/>
                <w:bCs/>
                <w:color w:val="000000"/>
                <w:sz w:val="24"/>
                <w:szCs w:val="24"/>
                <w:highlight w:val="none"/>
                <w:lang w:val="en-US" w:eastAsia="zh-CN"/>
              </w:rPr>
              <w:t>4</w:t>
            </w:r>
            <w:r>
              <w:rPr>
                <w:rFonts w:hint="eastAsia" w:ascii="宋体" w:hAnsi="宋体" w:eastAsia="宋体" w:cs="宋体"/>
                <w:bCs/>
                <w:color w:val="000000"/>
                <w:sz w:val="24"/>
                <w:szCs w:val="24"/>
                <w:highlight w:val="none"/>
              </w:rPr>
              <w:t>分</w:t>
            </w:r>
          </w:p>
          <w:p w14:paraId="3B566B73">
            <w:pPr>
              <w:keepNext w:val="0"/>
              <w:keepLines w:val="0"/>
              <w:pageBreakBefore w:val="0"/>
              <w:widowControl/>
              <w:kinsoku/>
              <w:wordWrap/>
              <w:overflowPunct/>
              <w:topLinePunct w:val="0"/>
              <w:autoSpaceDE/>
              <w:autoSpaceDN/>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lang w:val="en-US" w:eastAsia="zh-CN"/>
              </w:rPr>
              <w:t>4</w:t>
            </w:r>
            <w:r>
              <w:rPr>
                <w:rFonts w:hint="eastAsia" w:ascii="宋体" w:hAnsi="宋体" w:eastAsia="宋体" w:cs="宋体"/>
                <w:bCs/>
                <w:color w:val="000000"/>
                <w:sz w:val="24"/>
                <w:szCs w:val="24"/>
                <w:highlight w:val="none"/>
                <w:lang w:eastAsia="zh-CN"/>
              </w:rPr>
              <w:t>）质量承诺及保证措施</w:t>
            </w:r>
            <w:r>
              <w:rPr>
                <w:rFonts w:hint="eastAsia" w:ascii="宋体" w:hAnsi="宋体" w:eastAsia="宋体" w:cs="宋体"/>
                <w:bCs/>
                <w:color w:val="000000"/>
                <w:sz w:val="24"/>
                <w:szCs w:val="24"/>
                <w:highlight w:val="none"/>
              </w:rPr>
              <w:t>内容粗略的</w:t>
            </w: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lang w:val="en-US" w:eastAsia="zh-CN"/>
              </w:rPr>
              <w:t>不</w:t>
            </w:r>
            <w:r>
              <w:rPr>
                <w:rFonts w:hint="eastAsia" w:ascii="宋体" w:hAnsi="宋体" w:eastAsia="宋体" w:cs="宋体"/>
                <w:bCs/>
                <w:color w:val="000000"/>
                <w:sz w:val="24"/>
                <w:szCs w:val="24"/>
                <w:highlight w:val="none"/>
              </w:rPr>
              <w:t>能解决货物使用时可能发生的问题的</w:t>
            </w:r>
            <w:r>
              <w:rPr>
                <w:rFonts w:hint="eastAsia" w:ascii="宋体" w:hAnsi="宋体" w:cs="宋体"/>
                <w:bCs/>
                <w:color w:val="000000"/>
                <w:sz w:val="24"/>
                <w:szCs w:val="24"/>
                <w:highlight w:val="none"/>
                <w:lang w:val="en-US" w:eastAsia="zh-CN"/>
              </w:rPr>
              <w:t>的得</w:t>
            </w:r>
            <w:r>
              <w:rPr>
                <w:rFonts w:hint="eastAsia" w:ascii="宋体" w:hAnsi="宋体" w:eastAsia="宋体" w:cs="宋体"/>
                <w:bCs/>
                <w:color w:val="000000"/>
                <w:sz w:val="24"/>
                <w:szCs w:val="24"/>
                <w:highlight w:val="none"/>
                <w:lang w:val="en-US" w:eastAsia="zh-CN"/>
              </w:rPr>
              <w:t>0</w:t>
            </w:r>
            <w:r>
              <w:rPr>
                <w:rFonts w:hint="eastAsia" w:ascii="宋体" w:hAnsi="宋体" w:eastAsia="宋体" w:cs="宋体"/>
                <w:bCs/>
                <w:color w:val="000000"/>
                <w:sz w:val="24"/>
                <w:szCs w:val="24"/>
                <w:highlight w:val="none"/>
              </w:rPr>
              <w:t>～</w:t>
            </w:r>
            <w:r>
              <w:rPr>
                <w:rFonts w:hint="eastAsia" w:ascii="宋体" w:hAnsi="宋体" w:eastAsia="宋体" w:cs="宋体"/>
                <w:bCs/>
                <w:color w:val="000000"/>
                <w:sz w:val="24"/>
                <w:szCs w:val="24"/>
                <w:highlight w:val="none"/>
                <w:lang w:val="en-US" w:eastAsia="zh-CN"/>
              </w:rPr>
              <w:t>1</w:t>
            </w:r>
            <w:r>
              <w:rPr>
                <w:rFonts w:hint="eastAsia" w:ascii="宋体" w:hAnsi="宋体" w:eastAsia="宋体" w:cs="宋体"/>
                <w:bCs/>
                <w:color w:val="000000"/>
                <w:sz w:val="24"/>
                <w:szCs w:val="24"/>
                <w:highlight w:val="none"/>
              </w:rPr>
              <w:t>分</w:t>
            </w:r>
          </w:p>
        </w:tc>
      </w:tr>
      <w:tr w14:paraId="262A3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24" w:hRule="atLeast"/>
          <w:jc w:val="center"/>
        </w:trPr>
        <w:tc>
          <w:tcPr>
            <w:tcW w:w="1040" w:type="dxa"/>
            <w:vMerge w:val="continue"/>
            <w:tcBorders>
              <w:tl2br w:val="nil"/>
              <w:tr2bl w:val="nil"/>
            </w:tcBorders>
            <w:tcMar>
              <w:top w:w="10" w:type="dxa"/>
              <w:left w:w="10" w:type="dxa"/>
              <w:right w:w="10" w:type="dxa"/>
            </w:tcMar>
            <w:vAlign w:val="center"/>
          </w:tcPr>
          <w:p w14:paraId="43B803F2">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b/>
                <w:bCs/>
                <w:i w:val="0"/>
                <w:iCs w:val="0"/>
                <w:color w:val="auto"/>
                <w:sz w:val="24"/>
                <w:szCs w:val="24"/>
                <w:highlight w:val="none"/>
              </w:rPr>
            </w:pPr>
          </w:p>
        </w:tc>
        <w:tc>
          <w:tcPr>
            <w:tcW w:w="1339" w:type="dxa"/>
            <w:tcBorders>
              <w:tl2br w:val="nil"/>
              <w:tr2bl w:val="nil"/>
            </w:tcBorders>
            <w:tcMar>
              <w:top w:w="10" w:type="dxa"/>
              <w:left w:w="10" w:type="dxa"/>
              <w:right w:w="10" w:type="dxa"/>
            </w:tcMar>
            <w:vAlign w:val="center"/>
          </w:tcPr>
          <w:p w14:paraId="343CB355">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售后服务方案评审</w:t>
            </w:r>
          </w:p>
          <w:p w14:paraId="75F2FBAE">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color w:val="000000"/>
                <w:sz w:val="24"/>
                <w:szCs w:val="24"/>
                <w:highlight w:val="none"/>
                <w:lang w:eastAsia="zh-CN"/>
              </w:rPr>
            </w:pPr>
            <w:r>
              <w:rPr>
                <w:rFonts w:hint="eastAsia" w:ascii="宋体" w:hAnsi="宋体" w:eastAsia="宋体" w:cs="宋体"/>
                <w:bCs/>
                <w:color w:val="000000"/>
                <w:sz w:val="24"/>
                <w:szCs w:val="24"/>
                <w:highlight w:val="none"/>
              </w:rPr>
              <w:t>(</w:t>
            </w:r>
            <w:r>
              <w:rPr>
                <w:rFonts w:hint="eastAsia" w:ascii="宋体" w:hAnsi="宋体" w:eastAsia="宋体" w:cs="宋体"/>
                <w:bCs/>
                <w:color w:val="000000"/>
                <w:sz w:val="24"/>
                <w:szCs w:val="24"/>
                <w:highlight w:val="none"/>
                <w:lang w:val="en-US" w:eastAsia="zh-CN"/>
              </w:rPr>
              <w:t>10</w:t>
            </w:r>
            <w:r>
              <w:rPr>
                <w:rFonts w:hint="eastAsia" w:ascii="宋体" w:hAnsi="宋体" w:eastAsia="宋体" w:cs="宋体"/>
                <w:bCs/>
                <w:color w:val="000000"/>
                <w:sz w:val="24"/>
                <w:szCs w:val="24"/>
                <w:highlight w:val="none"/>
              </w:rPr>
              <w:t>分）</w:t>
            </w:r>
          </w:p>
        </w:tc>
        <w:tc>
          <w:tcPr>
            <w:tcW w:w="7329" w:type="dxa"/>
            <w:tcBorders>
              <w:tl2br w:val="nil"/>
              <w:tr2bl w:val="nil"/>
            </w:tcBorders>
            <w:tcMar>
              <w:top w:w="10" w:type="dxa"/>
              <w:left w:w="10" w:type="dxa"/>
              <w:right w:w="10" w:type="dxa"/>
            </w:tcMar>
            <w:vAlign w:val="center"/>
          </w:tcPr>
          <w:p w14:paraId="2FA24755">
            <w:pPr>
              <w:keepNext w:val="0"/>
              <w:keepLines w:val="0"/>
              <w:pageBreakBefore w:val="0"/>
              <w:widowControl/>
              <w:kinsoku/>
              <w:wordWrap/>
              <w:overflowPunct/>
              <w:topLinePunct w:val="0"/>
              <w:autoSpaceDE/>
              <w:autoSpaceDN/>
              <w:bidi w:val="0"/>
              <w:spacing w:line="360" w:lineRule="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lang w:val="en-US" w:eastAsia="zh-CN"/>
              </w:rPr>
              <w:t>1</w:t>
            </w: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rPr>
              <w:t>售后服务</w:t>
            </w:r>
            <w:r>
              <w:rPr>
                <w:rFonts w:hint="eastAsia" w:ascii="宋体" w:hAnsi="宋体" w:eastAsia="宋体" w:cs="宋体"/>
                <w:bCs/>
                <w:color w:val="000000"/>
                <w:sz w:val="24"/>
                <w:szCs w:val="24"/>
                <w:highlight w:val="none"/>
                <w:lang w:eastAsia="zh-CN"/>
              </w:rPr>
              <w:t>响应及时，</w:t>
            </w:r>
            <w:r>
              <w:rPr>
                <w:rFonts w:hint="eastAsia" w:ascii="宋体" w:hAnsi="宋体" w:eastAsia="宋体" w:cs="宋体"/>
                <w:bCs/>
                <w:color w:val="000000"/>
                <w:sz w:val="24"/>
                <w:szCs w:val="24"/>
                <w:highlight w:val="none"/>
              </w:rPr>
              <w:t>能力强，售后服务体系完整度高，保障性强，售后服务方案、承诺及保证完善具体，针对性强</w:t>
            </w:r>
            <w:r>
              <w:rPr>
                <w:rFonts w:hint="eastAsia" w:ascii="宋体" w:hAnsi="宋体" w:cs="宋体"/>
                <w:bCs/>
                <w:color w:val="000000"/>
                <w:sz w:val="24"/>
                <w:szCs w:val="24"/>
                <w:highlight w:val="none"/>
                <w:lang w:val="en-US" w:eastAsia="zh-CN"/>
              </w:rPr>
              <w:t>的得</w:t>
            </w:r>
            <w:r>
              <w:rPr>
                <w:rFonts w:hint="eastAsia" w:ascii="宋体" w:hAnsi="宋体" w:eastAsia="宋体" w:cs="宋体"/>
                <w:bCs/>
                <w:color w:val="000000"/>
                <w:sz w:val="24"/>
                <w:szCs w:val="24"/>
                <w:highlight w:val="none"/>
              </w:rPr>
              <w:t>8～10分</w:t>
            </w:r>
          </w:p>
          <w:p w14:paraId="4644E966">
            <w:pPr>
              <w:keepNext w:val="0"/>
              <w:keepLines w:val="0"/>
              <w:pageBreakBefore w:val="0"/>
              <w:widowControl/>
              <w:kinsoku/>
              <w:wordWrap/>
              <w:overflowPunct/>
              <w:topLinePunct w:val="0"/>
              <w:autoSpaceDE/>
              <w:autoSpaceDN/>
              <w:bidi w:val="0"/>
              <w:spacing w:line="360" w:lineRule="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lang w:val="en-US" w:eastAsia="zh-CN"/>
              </w:rPr>
              <w:t>2</w:t>
            </w: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rPr>
              <w:t>售后服务</w:t>
            </w:r>
            <w:r>
              <w:rPr>
                <w:rFonts w:hint="eastAsia" w:ascii="宋体" w:hAnsi="宋体" w:eastAsia="宋体" w:cs="宋体"/>
                <w:bCs/>
                <w:color w:val="000000"/>
                <w:sz w:val="24"/>
                <w:szCs w:val="24"/>
                <w:highlight w:val="none"/>
                <w:lang w:eastAsia="zh-CN"/>
              </w:rPr>
              <w:t>响应及时，</w:t>
            </w:r>
            <w:r>
              <w:rPr>
                <w:rFonts w:hint="eastAsia" w:ascii="宋体" w:hAnsi="宋体" w:eastAsia="宋体" w:cs="宋体"/>
                <w:bCs/>
                <w:color w:val="000000"/>
                <w:sz w:val="24"/>
                <w:szCs w:val="24"/>
                <w:highlight w:val="none"/>
              </w:rPr>
              <w:t>能力，售后服务体系完整度及保障性描述简单，售后服务方案、承诺及保证可行，有一定的针对性</w:t>
            </w:r>
            <w:r>
              <w:rPr>
                <w:rFonts w:hint="eastAsia" w:ascii="宋体" w:hAnsi="宋体" w:cs="宋体"/>
                <w:bCs/>
                <w:color w:val="000000"/>
                <w:sz w:val="24"/>
                <w:szCs w:val="24"/>
                <w:highlight w:val="none"/>
                <w:lang w:val="en-US" w:eastAsia="zh-CN"/>
              </w:rPr>
              <w:t>的得</w:t>
            </w:r>
            <w:r>
              <w:rPr>
                <w:rFonts w:hint="eastAsia" w:ascii="宋体" w:hAnsi="宋体" w:eastAsia="宋体" w:cs="宋体"/>
                <w:bCs/>
                <w:color w:val="000000"/>
                <w:sz w:val="24"/>
                <w:szCs w:val="24"/>
                <w:highlight w:val="none"/>
                <w:lang w:val="en-US" w:eastAsia="zh-CN"/>
              </w:rPr>
              <w:t>5</w:t>
            </w:r>
            <w:r>
              <w:rPr>
                <w:rFonts w:hint="eastAsia" w:ascii="宋体" w:hAnsi="宋体" w:eastAsia="宋体" w:cs="宋体"/>
                <w:bCs/>
                <w:color w:val="000000"/>
                <w:sz w:val="24"/>
                <w:szCs w:val="24"/>
                <w:highlight w:val="none"/>
              </w:rPr>
              <w:t>～</w:t>
            </w:r>
            <w:r>
              <w:rPr>
                <w:rFonts w:hint="eastAsia" w:ascii="宋体" w:hAnsi="宋体" w:eastAsia="宋体" w:cs="宋体"/>
                <w:bCs/>
                <w:color w:val="000000"/>
                <w:sz w:val="24"/>
                <w:szCs w:val="24"/>
                <w:highlight w:val="none"/>
                <w:lang w:val="en-US" w:eastAsia="zh-CN"/>
              </w:rPr>
              <w:t>7</w:t>
            </w:r>
            <w:r>
              <w:rPr>
                <w:rFonts w:hint="eastAsia" w:ascii="宋体" w:hAnsi="宋体" w:eastAsia="宋体" w:cs="宋体"/>
                <w:bCs/>
                <w:color w:val="000000"/>
                <w:sz w:val="24"/>
                <w:szCs w:val="24"/>
                <w:highlight w:val="none"/>
              </w:rPr>
              <w:t>分</w:t>
            </w:r>
          </w:p>
          <w:p w14:paraId="379F4B32">
            <w:pPr>
              <w:keepNext w:val="0"/>
              <w:keepLines w:val="0"/>
              <w:pageBreakBefore w:val="0"/>
              <w:widowControl/>
              <w:kinsoku/>
              <w:wordWrap/>
              <w:overflowPunct/>
              <w:topLinePunct w:val="0"/>
              <w:autoSpaceDE/>
              <w:autoSpaceDN/>
              <w:bidi w:val="0"/>
              <w:spacing w:line="360" w:lineRule="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lang w:val="en-US" w:eastAsia="zh-CN"/>
              </w:rPr>
              <w:t>3</w:t>
            </w: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rPr>
              <w:t>售后服务</w:t>
            </w:r>
            <w:r>
              <w:rPr>
                <w:rFonts w:hint="eastAsia" w:ascii="宋体" w:hAnsi="宋体" w:eastAsia="宋体" w:cs="宋体"/>
                <w:bCs/>
                <w:color w:val="000000"/>
                <w:sz w:val="24"/>
                <w:szCs w:val="24"/>
                <w:highlight w:val="none"/>
                <w:lang w:eastAsia="zh-CN"/>
              </w:rPr>
              <w:t>响应不及时，</w:t>
            </w:r>
            <w:r>
              <w:rPr>
                <w:rFonts w:hint="eastAsia" w:ascii="宋体" w:hAnsi="宋体" w:eastAsia="宋体" w:cs="宋体"/>
                <w:bCs/>
                <w:color w:val="000000"/>
                <w:sz w:val="24"/>
                <w:szCs w:val="24"/>
                <w:highlight w:val="none"/>
              </w:rPr>
              <w:t>能力弱，售后服务体系完整度及保障性粗糙，售后服务方案、承诺及保证基本可行，但缺乏针对性</w:t>
            </w:r>
            <w:r>
              <w:rPr>
                <w:rFonts w:hint="eastAsia" w:ascii="宋体" w:hAnsi="宋体" w:cs="宋体"/>
                <w:bCs/>
                <w:color w:val="000000"/>
                <w:sz w:val="24"/>
                <w:szCs w:val="24"/>
                <w:highlight w:val="none"/>
                <w:lang w:val="en-US" w:eastAsia="zh-CN"/>
              </w:rPr>
              <w:t>的得</w:t>
            </w:r>
            <w:r>
              <w:rPr>
                <w:rFonts w:hint="eastAsia" w:ascii="宋体" w:hAnsi="宋体" w:eastAsia="宋体" w:cs="宋体"/>
                <w:bCs/>
                <w:color w:val="000000"/>
                <w:sz w:val="24"/>
                <w:szCs w:val="24"/>
                <w:highlight w:val="none"/>
                <w:lang w:val="en-US" w:eastAsia="zh-CN"/>
              </w:rPr>
              <w:t>2</w:t>
            </w:r>
            <w:r>
              <w:rPr>
                <w:rFonts w:hint="eastAsia" w:ascii="宋体" w:hAnsi="宋体" w:eastAsia="宋体" w:cs="宋体"/>
                <w:bCs/>
                <w:color w:val="000000"/>
                <w:sz w:val="24"/>
                <w:szCs w:val="24"/>
                <w:highlight w:val="none"/>
              </w:rPr>
              <w:t>～</w:t>
            </w:r>
            <w:r>
              <w:rPr>
                <w:rFonts w:hint="eastAsia" w:ascii="宋体" w:hAnsi="宋体" w:eastAsia="宋体" w:cs="宋体"/>
                <w:bCs/>
                <w:color w:val="000000"/>
                <w:sz w:val="24"/>
                <w:szCs w:val="24"/>
                <w:highlight w:val="none"/>
                <w:lang w:val="en-US" w:eastAsia="zh-CN"/>
              </w:rPr>
              <w:t>4</w:t>
            </w:r>
            <w:r>
              <w:rPr>
                <w:rFonts w:hint="eastAsia" w:ascii="宋体" w:hAnsi="宋体" w:eastAsia="宋体" w:cs="宋体"/>
                <w:bCs/>
                <w:color w:val="000000"/>
                <w:sz w:val="24"/>
                <w:szCs w:val="24"/>
                <w:highlight w:val="none"/>
              </w:rPr>
              <w:t>分</w:t>
            </w:r>
          </w:p>
          <w:p w14:paraId="5BDC3E64">
            <w:pPr>
              <w:keepNext w:val="0"/>
              <w:keepLines w:val="0"/>
              <w:pageBreakBefore w:val="0"/>
              <w:widowControl/>
              <w:kinsoku/>
              <w:wordWrap/>
              <w:overflowPunct/>
              <w:topLinePunct w:val="0"/>
              <w:autoSpaceDE/>
              <w:autoSpaceDN/>
              <w:bidi w:val="0"/>
              <w:spacing w:line="360" w:lineRule="auto"/>
              <w:rPr>
                <w:rFonts w:hint="eastAsia" w:ascii="宋体" w:hAnsi="宋体" w:eastAsia="宋体" w:cs="宋体"/>
                <w:bCs/>
                <w:color w:val="000000"/>
                <w:sz w:val="24"/>
                <w:szCs w:val="24"/>
                <w:highlight w:val="none"/>
                <w:lang w:eastAsia="zh-CN"/>
              </w:rPr>
            </w:pP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lang w:val="en-US" w:eastAsia="zh-CN"/>
              </w:rPr>
              <w:t>4</w:t>
            </w: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rPr>
              <w:t>售后服务方案不完整、几乎没有保障性</w:t>
            </w:r>
            <w:r>
              <w:rPr>
                <w:rFonts w:hint="eastAsia" w:ascii="宋体" w:hAnsi="宋体" w:cs="宋体"/>
                <w:bCs/>
                <w:color w:val="000000"/>
                <w:sz w:val="24"/>
                <w:szCs w:val="24"/>
                <w:highlight w:val="none"/>
                <w:lang w:val="en-US" w:eastAsia="zh-CN"/>
              </w:rPr>
              <w:t>的得</w:t>
            </w:r>
            <w:r>
              <w:rPr>
                <w:rFonts w:hint="eastAsia" w:ascii="宋体" w:hAnsi="宋体" w:eastAsia="宋体" w:cs="宋体"/>
                <w:bCs/>
                <w:color w:val="000000"/>
                <w:sz w:val="24"/>
                <w:szCs w:val="24"/>
                <w:highlight w:val="none"/>
                <w:lang w:val="en-US" w:eastAsia="zh-CN"/>
              </w:rPr>
              <w:t>0</w:t>
            </w:r>
            <w:r>
              <w:rPr>
                <w:rFonts w:hint="eastAsia" w:ascii="宋体" w:hAnsi="宋体" w:eastAsia="宋体" w:cs="宋体"/>
                <w:bCs/>
                <w:color w:val="000000"/>
                <w:sz w:val="24"/>
                <w:szCs w:val="24"/>
                <w:highlight w:val="none"/>
              </w:rPr>
              <w:t>～</w:t>
            </w:r>
            <w:r>
              <w:rPr>
                <w:rFonts w:hint="eastAsia" w:ascii="宋体" w:hAnsi="宋体" w:eastAsia="宋体" w:cs="宋体"/>
                <w:bCs/>
                <w:color w:val="000000"/>
                <w:sz w:val="24"/>
                <w:szCs w:val="24"/>
                <w:highlight w:val="none"/>
                <w:lang w:val="en-US" w:eastAsia="zh-CN"/>
              </w:rPr>
              <w:t>1</w:t>
            </w:r>
            <w:r>
              <w:rPr>
                <w:rFonts w:hint="eastAsia" w:ascii="宋体" w:hAnsi="宋体" w:eastAsia="宋体" w:cs="宋体"/>
                <w:bCs/>
                <w:color w:val="000000"/>
                <w:sz w:val="24"/>
                <w:szCs w:val="24"/>
                <w:highlight w:val="none"/>
              </w:rPr>
              <w:t>分</w:t>
            </w:r>
          </w:p>
        </w:tc>
      </w:tr>
    </w:tbl>
    <w:p w14:paraId="3501A977">
      <w:pPr>
        <w:spacing w:line="500" w:lineRule="exact"/>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(五)得分汇总</w:t>
      </w:r>
    </w:p>
    <w:p w14:paraId="29F179E2">
      <w:pPr>
        <w:pStyle w:val="20"/>
        <w:spacing w:line="48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1.评委应首先对各投标人投标文件进行评标，写出书面意见并按</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规定分值评分，各分档评分中间不得用插入法评分。</w:t>
      </w:r>
    </w:p>
    <w:p w14:paraId="76B8EA3F">
      <w:pPr>
        <w:pStyle w:val="20"/>
        <w:spacing w:line="48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2.除投标价格得分外，其余部分由各评委自主评分并签字确认。</w:t>
      </w:r>
    </w:p>
    <w:p w14:paraId="218D6A45">
      <w:pPr>
        <w:pStyle w:val="20"/>
        <w:spacing w:line="48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3.统分原则：计算评委打分的算术平均值为投标人的该项评分因素的得分，投标报价得分除外(保留小数点后两位)。</w:t>
      </w:r>
    </w:p>
    <w:p w14:paraId="6AF3DF6D">
      <w:pPr>
        <w:pStyle w:val="20"/>
        <w:spacing w:line="48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4.得分汇总：各项评分因素得分总和即为投标人最后得分。</w:t>
      </w:r>
    </w:p>
    <w:p w14:paraId="3336DA03">
      <w:pPr>
        <w:pStyle w:val="20"/>
        <w:spacing w:line="48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5.经评标委员会认定评分畸高、畸低的，评标委员会应当当场修改评标结果，并在评标报告中记载。</w:t>
      </w:r>
    </w:p>
    <w:p w14:paraId="60E50FD5">
      <w:pPr>
        <w:spacing w:before="72" w:beforeLines="30" w:after="72" w:afterLines="30" w:line="500" w:lineRule="exact"/>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七、推荐</w:t>
      </w:r>
    </w:p>
    <w:p w14:paraId="7D16D849">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lang w:eastAsia="zh-Hans"/>
        </w:rPr>
        <w:t>评审</w:t>
      </w:r>
      <w:r>
        <w:rPr>
          <w:rFonts w:hint="eastAsia" w:ascii="宋体" w:hAnsi="宋体" w:cs="宋体"/>
          <w:i w:val="0"/>
          <w:iCs w:val="0"/>
          <w:color w:val="auto"/>
          <w:sz w:val="24"/>
          <w:szCs w:val="24"/>
          <w:highlight w:val="none"/>
        </w:rPr>
        <w:t>过程中如遇特殊情况由评标委员会集体研究确定。</w:t>
      </w:r>
    </w:p>
    <w:p w14:paraId="15B4FE2D">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评标委员会应当根据综合评分情况，按照评标得分由高到低顺序推荐1～3名中标候选人，并编写评标报告。评标得分相等的，按照投标报价由低到高的顺序推荐。评标得分相等且投标报价相同的，按照</w:t>
      </w:r>
      <w:r>
        <w:rPr>
          <w:rFonts w:hint="eastAsia" w:ascii="宋体" w:hAnsi="宋体" w:cs="宋体"/>
          <w:i w:val="0"/>
          <w:iCs w:val="0"/>
          <w:color w:val="auto"/>
          <w:sz w:val="24"/>
          <w:szCs w:val="24"/>
          <w:highlight w:val="none"/>
          <w:lang w:val="en-US" w:eastAsia="zh-CN"/>
        </w:rPr>
        <w:t>技术</w:t>
      </w:r>
      <w:r>
        <w:rPr>
          <w:rFonts w:hint="eastAsia" w:ascii="宋体" w:hAnsi="宋体" w:cs="宋体"/>
          <w:i w:val="0"/>
          <w:iCs w:val="0"/>
          <w:color w:val="auto"/>
          <w:sz w:val="24"/>
          <w:szCs w:val="24"/>
          <w:highlight w:val="none"/>
        </w:rPr>
        <w:t>部分评审得分由高到低顺序推荐，依次类推。最终中标单位由招标人确定。</w:t>
      </w:r>
    </w:p>
    <w:p w14:paraId="33195C01">
      <w:pPr>
        <w:spacing w:before="72" w:beforeLines="30" w:after="72" w:afterLines="30" w:line="500" w:lineRule="exact"/>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八、评标报告编写</w:t>
      </w:r>
    </w:p>
    <w:p w14:paraId="255BC21A">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评标委员会根据全体评标成员签字的原始评标记录评标结果编写评标报告。</w:t>
      </w:r>
    </w:p>
    <w:p w14:paraId="161068EC">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评标报告应当由评标委员会全体人员签字认可。评标委员会成员对评标报告有异议的，评标委员会按照少数服从多数的原则推荐中标候选人，招标程序继续进行。对评标报告有异议的评标委员会成员，应当在报告上签署不同意见并说明理由，由评标委员会书面记录相关情况。评标委员会成员拒绝在报告上签字又不书面说明其不同意见和理由的，视为同意评标报告</w:t>
      </w:r>
      <w:bookmarkStart w:id="237" w:name="_Toc21476"/>
      <w:bookmarkEnd w:id="237"/>
      <w:bookmarkStart w:id="238" w:name="_Toc18440"/>
      <w:bookmarkEnd w:id="238"/>
      <w:bookmarkStart w:id="239" w:name="_Toc8239"/>
      <w:bookmarkEnd w:id="239"/>
      <w:bookmarkStart w:id="240" w:name="_Toc26828"/>
      <w:bookmarkEnd w:id="240"/>
      <w:r>
        <w:rPr>
          <w:rFonts w:hint="eastAsia" w:ascii="宋体" w:hAnsi="宋体" w:cs="宋体"/>
          <w:i w:val="0"/>
          <w:iCs w:val="0"/>
          <w:color w:val="auto"/>
          <w:sz w:val="24"/>
          <w:szCs w:val="24"/>
          <w:highlight w:val="none"/>
        </w:rPr>
        <w:t>。</w:t>
      </w:r>
      <w:bookmarkEnd w:id="235"/>
      <w:bookmarkStart w:id="241" w:name="_Toc29722"/>
      <w:bookmarkStart w:id="242" w:name="_Toc3397766"/>
    </w:p>
    <w:p w14:paraId="1C25A126">
      <w:pPr>
        <w:pStyle w:val="7"/>
        <w:rPr>
          <w:rFonts w:ascii="宋体" w:hAnsi="宋体" w:cs="宋体"/>
          <w:i w:val="0"/>
          <w:iCs w:val="0"/>
          <w:color w:val="auto"/>
          <w:highlight w:val="none"/>
        </w:rPr>
        <w:sectPr>
          <w:footerReference r:id="rId16" w:type="default"/>
          <w:type w:val="nextColumn"/>
          <w:pgSz w:w="11906" w:h="16838"/>
          <w:pgMar w:top="1440" w:right="1304" w:bottom="1440" w:left="1304" w:header="737" w:footer="737" w:gutter="0"/>
          <w:pgNumType w:fmt="decimal"/>
          <w:cols w:space="720" w:num="1"/>
          <w:docGrid w:linePitch="299" w:charSpace="0"/>
        </w:sectPr>
      </w:pPr>
    </w:p>
    <w:bookmarkEnd w:id="241"/>
    <w:p w14:paraId="2D903410">
      <w:pPr>
        <w:pStyle w:val="2"/>
        <w:numPr>
          <w:ilvl w:val="0"/>
          <w:numId w:val="2"/>
        </w:numPr>
        <w:spacing w:before="0" w:after="0" w:line="360" w:lineRule="auto"/>
        <w:jc w:val="center"/>
      </w:pPr>
      <w:r>
        <w:rPr>
          <w:rFonts w:hint="eastAsia" w:ascii="宋体" w:hAnsi="宋体" w:cs="宋体"/>
          <w:i w:val="0"/>
          <w:iCs w:val="0"/>
          <w:color w:val="auto"/>
          <w:highlight w:val="none"/>
          <w:lang w:val="en-US" w:eastAsia="zh-CN"/>
        </w:rPr>
        <w:t xml:space="preserve"> </w:t>
      </w:r>
      <w:bookmarkStart w:id="243" w:name="_Toc16532"/>
      <w:r>
        <w:rPr>
          <w:rFonts w:hint="eastAsia" w:ascii="宋体" w:hAnsi="宋体" w:cs="宋体"/>
          <w:i w:val="0"/>
          <w:iCs w:val="0"/>
          <w:color w:val="auto"/>
          <w:highlight w:val="none"/>
        </w:rPr>
        <w:t>合同条款及格式</w:t>
      </w:r>
      <w:bookmarkEnd w:id="242"/>
      <w:bookmarkEnd w:id="243"/>
    </w:p>
    <w:p w14:paraId="3BA95F67">
      <w:pPr>
        <w:rPr>
          <w:rFonts w:hint="eastAsia" w:ascii="宋体" w:hAnsi="宋体" w:eastAsia="宋体" w:cs="宋体"/>
          <w:sz w:val="24"/>
          <w:szCs w:val="24"/>
          <w:u w:val="single"/>
        </w:rPr>
      </w:pPr>
      <w:r>
        <w:rPr>
          <w:rFonts w:hint="eastAsia" w:ascii="宋体" w:hAnsi="宋体" w:cs="宋体"/>
          <w:i w:val="0"/>
          <w:iCs w:val="0"/>
          <w:color w:val="auto"/>
          <w:highlight w:val="none"/>
          <w:lang w:val="en-US" w:eastAsia="zh-CN"/>
        </w:rPr>
        <w:t xml:space="preserve">      </w:t>
      </w:r>
    </w:p>
    <w:p w14:paraId="424B9170">
      <w:pPr>
        <w:spacing w:line="480" w:lineRule="auto"/>
        <w:jc w:val="center"/>
        <w:rPr>
          <w:rFonts w:hint="eastAsia" w:ascii="宋体" w:hAnsi="宋体" w:eastAsia="宋体" w:cs="宋体"/>
          <w:b/>
          <w:sz w:val="24"/>
          <w:szCs w:val="24"/>
        </w:rPr>
      </w:pPr>
    </w:p>
    <w:p w14:paraId="7CE98B07">
      <w:pPr>
        <w:spacing w:after="240"/>
        <w:jc w:val="center"/>
        <w:rPr>
          <w:rFonts w:hint="eastAsia" w:asciiTheme="minorEastAsia" w:hAnsiTheme="minorEastAsia" w:eastAsiaTheme="minorEastAsia" w:cstheme="minorEastAsia"/>
          <w:color w:val="auto"/>
          <w:sz w:val="36"/>
          <w:szCs w:val="36"/>
          <w:highlight w:val="none"/>
          <w:lang w:eastAsia="zh-CN"/>
        </w:rPr>
      </w:pPr>
      <w:r>
        <w:rPr>
          <w:rFonts w:hint="eastAsia" w:asciiTheme="minorEastAsia" w:hAnsiTheme="minorEastAsia" w:eastAsiaTheme="minorEastAsia" w:cstheme="minorEastAsia"/>
          <w:color w:val="auto"/>
          <w:sz w:val="36"/>
          <w:szCs w:val="36"/>
          <w:highlight w:val="none"/>
          <w:lang w:eastAsia="zh-CN"/>
        </w:rPr>
        <w:t>红河州第二人民医院</w:t>
      </w:r>
      <w:r>
        <w:rPr>
          <w:rFonts w:hint="eastAsia" w:asciiTheme="minorEastAsia" w:hAnsiTheme="minorEastAsia" w:cstheme="minorEastAsia"/>
          <w:color w:val="auto"/>
          <w:sz w:val="36"/>
          <w:szCs w:val="36"/>
          <w:highlight w:val="none"/>
          <w:lang w:eastAsia="zh-CN"/>
        </w:rPr>
        <w:t>胃镜室清洗消毒工作站配套设备</w:t>
      </w:r>
      <w:r>
        <w:rPr>
          <w:rFonts w:hint="eastAsia" w:asciiTheme="minorEastAsia" w:hAnsiTheme="minorEastAsia" w:eastAsiaTheme="minorEastAsia" w:cstheme="minorEastAsia"/>
          <w:color w:val="auto"/>
          <w:sz w:val="36"/>
          <w:szCs w:val="36"/>
          <w:highlight w:val="none"/>
          <w:lang w:eastAsia="zh-CN"/>
        </w:rPr>
        <w:t>采购项目</w:t>
      </w:r>
    </w:p>
    <w:p w14:paraId="6F8A9F5C">
      <w:pPr>
        <w:spacing w:line="480" w:lineRule="auto"/>
        <w:jc w:val="center"/>
        <w:rPr>
          <w:rFonts w:hint="eastAsia" w:ascii="宋体" w:hAnsi="宋体" w:eastAsia="宋体" w:cs="宋体"/>
          <w:b/>
          <w:color w:val="FF0000"/>
          <w:sz w:val="24"/>
          <w:szCs w:val="24"/>
        </w:rPr>
      </w:pPr>
    </w:p>
    <w:p w14:paraId="3CEA6078">
      <w:pPr>
        <w:spacing w:line="480" w:lineRule="auto"/>
        <w:jc w:val="center"/>
        <w:rPr>
          <w:rFonts w:hint="eastAsia" w:ascii="宋体" w:hAnsi="宋体" w:eastAsia="宋体" w:cs="宋体"/>
          <w:b/>
          <w:color w:val="FF0000"/>
          <w:sz w:val="24"/>
          <w:szCs w:val="24"/>
        </w:rPr>
      </w:pPr>
    </w:p>
    <w:p w14:paraId="683D387A">
      <w:pPr>
        <w:spacing w:before="480" w:beforeLines="200" w:after="480" w:afterLines="200"/>
        <w:jc w:val="center"/>
        <w:rPr>
          <w:rFonts w:ascii="??"/>
          <w:color w:val="auto"/>
          <w:sz w:val="18"/>
          <w:szCs w:val="18"/>
          <w:highlight w:val="none"/>
        </w:rPr>
      </w:pPr>
      <w:r>
        <w:rPr>
          <w:rFonts w:hint="eastAsia" w:ascii="黑体" w:eastAsia="黑体"/>
          <w:color w:val="auto"/>
          <w:sz w:val="63"/>
          <w:szCs w:val="63"/>
          <w:highlight w:val="none"/>
        </w:rPr>
        <w:t>合</w:t>
      </w:r>
    </w:p>
    <w:p w14:paraId="302A9E7D">
      <w:pPr>
        <w:spacing w:before="480" w:beforeLines="200" w:after="480" w:afterLines="200" w:line="900" w:lineRule="exact"/>
        <w:jc w:val="center"/>
        <w:rPr>
          <w:rFonts w:ascii="??"/>
          <w:color w:val="auto"/>
          <w:sz w:val="18"/>
          <w:szCs w:val="18"/>
          <w:highlight w:val="none"/>
        </w:rPr>
      </w:pPr>
      <w:r>
        <w:rPr>
          <w:rFonts w:hint="eastAsia" w:ascii="黑体" w:eastAsia="黑体"/>
          <w:color w:val="auto"/>
          <w:sz w:val="63"/>
          <w:szCs w:val="63"/>
          <w:highlight w:val="none"/>
        </w:rPr>
        <w:t>同</w:t>
      </w:r>
    </w:p>
    <w:p w14:paraId="66C835BE">
      <w:pPr>
        <w:spacing w:before="480" w:beforeLines="200" w:after="480" w:afterLines="200" w:line="900" w:lineRule="exact"/>
        <w:jc w:val="center"/>
        <w:rPr>
          <w:rFonts w:hint="eastAsia" w:ascii="??" w:hAnsi="??" w:eastAsia="宋体"/>
          <w:color w:val="auto"/>
          <w:sz w:val="18"/>
          <w:szCs w:val="18"/>
          <w:highlight w:val="none"/>
          <w:lang w:eastAsia="zh-CN"/>
        </w:rPr>
      </w:pPr>
      <w:r>
        <w:rPr>
          <w:rFonts w:hint="eastAsia" w:ascii="黑体" w:eastAsia="黑体"/>
          <w:color w:val="auto"/>
          <w:sz w:val="63"/>
          <w:szCs w:val="63"/>
          <w:highlight w:val="none"/>
        </w:rPr>
        <w:t>书</w:t>
      </w:r>
    </w:p>
    <w:p w14:paraId="7CA9FDA1">
      <w:pPr>
        <w:spacing w:before="1920" w:beforeLines="800"/>
        <w:ind w:firstLine="2711" w:firstLineChars="1000"/>
        <w:rPr>
          <w:rFonts w:hint="eastAsia" w:ascii="楷体_GB2312" w:eastAsia="楷体_GB2312"/>
          <w:b/>
          <w:bCs/>
          <w:color w:val="auto"/>
          <w:sz w:val="27"/>
          <w:szCs w:val="27"/>
          <w:highlight w:val="none"/>
        </w:rPr>
      </w:pPr>
    </w:p>
    <w:p w14:paraId="7AF466FD">
      <w:pPr>
        <w:spacing w:before="1920" w:beforeLines="800"/>
        <w:ind w:firstLine="2711" w:firstLineChars="1000"/>
        <w:rPr>
          <w:rFonts w:ascii="??"/>
          <w:color w:val="auto"/>
          <w:sz w:val="18"/>
          <w:szCs w:val="18"/>
          <w:highlight w:val="none"/>
        </w:rPr>
      </w:pPr>
      <w:r>
        <w:rPr>
          <w:rFonts w:hint="eastAsia" w:ascii="楷体_GB2312" w:eastAsia="楷体_GB2312"/>
          <w:b/>
          <w:bCs/>
          <w:color w:val="auto"/>
          <w:sz w:val="27"/>
          <w:szCs w:val="27"/>
          <w:highlight w:val="none"/>
        </w:rPr>
        <w:t>签订地点：</w:t>
      </w:r>
      <w:r>
        <w:rPr>
          <w:rFonts w:ascii="楷体_GB2312" w:eastAsia="楷体_GB2312"/>
          <w:b/>
          <w:bCs/>
          <w:color w:val="auto"/>
          <w:sz w:val="27"/>
          <w:szCs w:val="27"/>
          <w:highlight w:val="none"/>
        </w:rPr>
        <w:t xml:space="preserve">    </w:t>
      </w:r>
    </w:p>
    <w:p w14:paraId="78C6A0F7">
      <w:pPr>
        <w:tabs>
          <w:tab w:val="left" w:pos="1210"/>
          <w:tab w:val="left" w:pos="3295"/>
          <w:tab w:val="left" w:pos="4756"/>
          <w:tab w:val="left" w:pos="5639"/>
          <w:tab w:val="left" w:pos="6648"/>
          <w:tab w:val="left" w:pos="7857"/>
        </w:tabs>
        <w:ind w:firstLine="2711" w:firstLineChars="1000"/>
        <w:rPr>
          <w:rFonts w:hint="eastAsia" w:ascii="楷体_GB2312" w:eastAsia="楷体_GB2312"/>
          <w:b/>
          <w:bCs/>
          <w:color w:val="auto"/>
          <w:sz w:val="27"/>
          <w:szCs w:val="27"/>
          <w:highlight w:val="none"/>
        </w:rPr>
      </w:pPr>
      <w:r>
        <w:rPr>
          <w:rFonts w:hint="eastAsia" w:ascii="楷体_GB2312" w:eastAsia="楷体_GB2312"/>
          <w:b/>
          <w:bCs/>
          <w:color w:val="auto"/>
          <w:sz w:val="27"/>
          <w:szCs w:val="27"/>
          <w:highlight w:val="none"/>
        </w:rPr>
        <w:t>签订日期：</w:t>
      </w:r>
      <w:r>
        <w:rPr>
          <w:rFonts w:ascii="楷体_GB2312" w:eastAsia="楷体_GB2312"/>
          <w:b/>
          <w:bCs/>
          <w:color w:val="auto"/>
          <w:sz w:val="27"/>
          <w:szCs w:val="27"/>
          <w:highlight w:val="none"/>
        </w:rPr>
        <w:t xml:space="preserve">      </w:t>
      </w:r>
      <w:r>
        <w:rPr>
          <w:rFonts w:hint="eastAsia" w:ascii="楷体_GB2312" w:eastAsia="楷体_GB2312"/>
          <w:b/>
          <w:bCs/>
          <w:color w:val="auto"/>
          <w:sz w:val="27"/>
          <w:szCs w:val="27"/>
          <w:highlight w:val="none"/>
        </w:rPr>
        <w:t>年</w:t>
      </w:r>
      <w:r>
        <w:rPr>
          <w:rFonts w:ascii="楷体_GB2312" w:eastAsia="楷体_GB2312"/>
          <w:b/>
          <w:bCs/>
          <w:color w:val="auto"/>
          <w:sz w:val="27"/>
          <w:szCs w:val="27"/>
          <w:highlight w:val="none"/>
        </w:rPr>
        <w:t xml:space="preserve">  </w:t>
      </w:r>
      <w:r>
        <w:rPr>
          <w:rFonts w:hint="eastAsia" w:ascii="楷体_GB2312" w:eastAsia="楷体_GB2312"/>
          <w:b/>
          <w:bCs/>
          <w:color w:val="auto"/>
          <w:sz w:val="27"/>
          <w:szCs w:val="27"/>
          <w:highlight w:val="none"/>
        </w:rPr>
        <w:t>月　日</w:t>
      </w:r>
    </w:p>
    <w:p w14:paraId="7FF864C8">
      <w:pPr>
        <w:tabs>
          <w:tab w:val="left" w:pos="1210"/>
          <w:tab w:val="left" w:pos="3295"/>
          <w:tab w:val="left" w:pos="4756"/>
          <w:tab w:val="left" w:pos="5639"/>
          <w:tab w:val="left" w:pos="6648"/>
          <w:tab w:val="left" w:pos="7857"/>
        </w:tabs>
        <w:ind w:firstLine="2711" w:firstLineChars="1000"/>
        <w:rPr>
          <w:rFonts w:hint="eastAsia" w:ascii="楷体_GB2312" w:eastAsia="楷体_GB2312"/>
          <w:b/>
          <w:bCs/>
          <w:color w:val="auto"/>
          <w:sz w:val="27"/>
          <w:szCs w:val="27"/>
          <w:highlight w:val="none"/>
        </w:rPr>
      </w:pPr>
    </w:p>
    <w:p w14:paraId="1D435347">
      <w:pPr>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480" w:firstLineChars="200"/>
        <w:jc w:val="both"/>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为强化甲方科学诊断水平，提高医院运作效率，甲方决定采购</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，经过相应招标程序，</w:t>
      </w:r>
      <w:r>
        <w:rPr>
          <w:rFonts w:hint="eastAsia" w:ascii="宋体" w:hAnsi="宋体" w:eastAsia="宋体" w:cs="宋体"/>
          <w:color w:val="auto"/>
          <w:sz w:val="24"/>
          <w:szCs w:val="24"/>
          <w:highlight w:val="none"/>
        </w:rPr>
        <w:t xml:space="preserve">乙方成为甲方医疗设备招标采购项目（招标编号：              </w:t>
      </w:r>
      <w:r>
        <w:rPr>
          <w:rFonts w:hint="eastAsia" w:ascii="宋体" w:hAnsi="宋体" w:eastAsia="宋体" w:cs="宋体"/>
          <w:color w:val="auto"/>
          <w:kern w:val="0"/>
          <w:sz w:val="24"/>
          <w:szCs w:val="24"/>
          <w:highlight w:val="none"/>
        </w:rPr>
        <w:t>）的中标单位。经甲乙双方协商一致，签订以下内容之采购合同：</w:t>
      </w:r>
    </w:p>
    <w:p w14:paraId="6723456E">
      <w:pPr>
        <w:keepNext w:val="0"/>
        <w:keepLines w:val="0"/>
        <w:pageBreakBefore w:val="0"/>
        <w:widowControl/>
        <w:numPr>
          <w:ilvl w:val="0"/>
          <w:numId w:val="3"/>
        </w:numPr>
        <w:kinsoku/>
        <w:wordWrap/>
        <w:overflowPunct/>
        <w:topLinePunct w:val="0"/>
        <w:autoSpaceDE/>
        <w:autoSpaceDN/>
        <w:bidi w:val="0"/>
        <w:adjustRightInd/>
        <w:snapToGrid/>
        <w:spacing w:line="520" w:lineRule="exac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项目或设备名称、品牌、型号规格、生产厂家名、数量、价格、交货期</w:t>
      </w:r>
      <w:r>
        <w:rPr>
          <w:rFonts w:hint="eastAsia" w:ascii="宋体" w:hAnsi="宋体" w:cs="宋体"/>
          <w:b/>
          <w:bCs/>
          <w:color w:val="auto"/>
          <w:sz w:val="24"/>
          <w:szCs w:val="24"/>
          <w:highlight w:val="none"/>
          <w:lang w:eastAsia="zh-CN"/>
        </w:rPr>
        <w:t>：</w:t>
      </w:r>
    </w:p>
    <w:tbl>
      <w:tblPr>
        <w:tblStyle w:val="47"/>
        <w:tblW w:w="89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1"/>
        <w:gridCol w:w="1827"/>
        <w:gridCol w:w="1890"/>
        <w:gridCol w:w="945"/>
        <w:gridCol w:w="1155"/>
        <w:gridCol w:w="1302"/>
      </w:tblGrid>
      <w:tr w14:paraId="7630C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2" w:hRule="atLeast"/>
        </w:trPr>
        <w:tc>
          <w:tcPr>
            <w:tcW w:w="1851" w:type="dxa"/>
            <w:tcBorders>
              <w:top w:val="single" w:color="auto" w:sz="4" w:space="0"/>
              <w:left w:val="single" w:color="auto" w:sz="4" w:space="0"/>
              <w:bottom w:val="single" w:color="auto" w:sz="4" w:space="0"/>
              <w:right w:val="single" w:color="auto" w:sz="4" w:space="0"/>
            </w:tcBorders>
            <w:noWrap w:val="0"/>
            <w:vAlign w:val="center"/>
          </w:tcPr>
          <w:p w14:paraId="7963D832">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kern w:val="0"/>
                <w:sz w:val="24"/>
                <w:szCs w:val="24"/>
                <w:highlight w:val="none"/>
              </w:rPr>
            </w:pPr>
            <w:r>
              <w:rPr>
                <w:rFonts w:hint="eastAsia" w:ascii="宋体" w:hAnsi="宋体" w:eastAsia="宋体" w:cs="宋体"/>
                <w:b/>
                <w:bCs/>
                <w:color w:val="auto"/>
                <w:sz w:val="24"/>
                <w:szCs w:val="24"/>
                <w:highlight w:val="none"/>
              </w:rPr>
              <w:t>设备名称</w:t>
            </w:r>
          </w:p>
        </w:tc>
        <w:tc>
          <w:tcPr>
            <w:tcW w:w="1827" w:type="dxa"/>
            <w:tcBorders>
              <w:top w:val="single" w:color="auto" w:sz="4" w:space="0"/>
              <w:left w:val="nil"/>
              <w:bottom w:val="single" w:color="auto" w:sz="4" w:space="0"/>
              <w:right w:val="single" w:color="auto" w:sz="4" w:space="0"/>
            </w:tcBorders>
            <w:noWrap w:val="0"/>
            <w:vAlign w:val="center"/>
          </w:tcPr>
          <w:p w14:paraId="7D5C933C">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kern w:val="0"/>
                <w:sz w:val="24"/>
                <w:szCs w:val="24"/>
                <w:highlight w:val="none"/>
              </w:rPr>
            </w:pPr>
            <w:r>
              <w:rPr>
                <w:rFonts w:hint="eastAsia" w:ascii="宋体" w:hAnsi="宋体" w:eastAsia="宋体" w:cs="宋体"/>
                <w:b/>
                <w:bCs/>
                <w:color w:val="auto"/>
                <w:sz w:val="24"/>
                <w:szCs w:val="24"/>
                <w:highlight w:val="none"/>
              </w:rPr>
              <w:t>型号规格</w:t>
            </w:r>
          </w:p>
        </w:tc>
        <w:tc>
          <w:tcPr>
            <w:tcW w:w="1890" w:type="dxa"/>
            <w:tcBorders>
              <w:top w:val="single" w:color="auto" w:sz="4" w:space="0"/>
              <w:left w:val="nil"/>
              <w:bottom w:val="single" w:color="auto" w:sz="4" w:space="0"/>
              <w:right w:val="single" w:color="auto" w:sz="4" w:space="0"/>
            </w:tcBorders>
            <w:noWrap w:val="0"/>
            <w:vAlign w:val="center"/>
          </w:tcPr>
          <w:p w14:paraId="6FF01EBF">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生产厂家</w:t>
            </w:r>
          </w:p>
        </w:tc>
        <w:tc>
          <w:tcPr>
            <w:tcW w:w="945" w:type="dxa"/>
            <w:tcBorders>
              <w:top w:val="single" w:color="auto" w:sz="4" w:space="0"/>
              <w:left w:val="nil"/>
              <w:bottom w:val="single" w:color="auto" w:sz="4" w:space="0"/>
              <w:right w:val="single" w:color="auto" w:sz="4" w:space="0"/>
            </w:tcBorders>
            <w:noWrap w:val="0"/>
            <w:vAlign w:val="center"/>
          </w:tcPr>
          <w:p w14:paraId="0D131867">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kern w:val="0"/>
                <w:sz w:val="24"/>
                <w:szCs w:val="24"/>
                <w:highlight w:val="none"/>
              </w:rPr>
            </w:pPr>
            <w:r>
              <w:rPr>
                <w:rFonts w:hint="eastAsia" w:ascii="宋体" w:hAnsi="宋体" w:eastAsia="宋体" w:cs="宋体"/>
                <w:b/>
                <w:bCs/>
                <w:color w:val="auto"/>
                <w:sz w:val="24"/>
                <w:szCs w:val="24"/>
                <w:highlight w:val="none"/>
              </w:rPr>
              <w:t>数量</w:t>
            </w:r>
          </w:p>
        </w:tc>
        <w:tc>
          <w:tcPr>
            <w:tcW w:w="1155" w:type="dxa"/>
            <w:tcBorders>
              <w:top w:val="single" w:color="auto" w:sz="4" w:space="0"/>
              <w:left w:val="nil"/>
              <w:bottom w:val="single" w:color="auto" w:sz="4" w:space="0"/>
              <w:right w:val="single" w:color="auto" w:sz="4" w:space="0"/>
            </w:tcBorders>
            <w:noWrap w:val="0"/>
            <w:vAlign w:val="center"/>
          </w:tcPr>
          <w:p w14:paraId="1E0DE5FA">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kern w:val="0"/>
                <w:sz w:val="24"/>
                <w:szCs w:val="24"/>
                <w:highlight w:val="none"/>
              </w:rPr>
            </w:pPr>
            <w:r>
              <w:rPr>
                <w:rFonts w:hint="eastAsia" w:ascii="宋体" w:hAnsi="宋体" w:eastAsia="宋体" w:cs="宋体"/>
                <w:b/>
                <w:bCs/>
                <w:color w:val="auto"/>
                <w:sz w:val="24"/>
                <w:szCs w:val="24"/>
                <w:highlight w:val="none"/>
              </w:rPr>
              <w:t>总价（元）</w:t>
            </w:r>
          </w:p>
        </w:tc>
        <w:tc>
          <w:tcPr>
            <w:tcW w:w="1302" w:type="dxa"/>
            <w:tcBorders>
              <w:top w:val="single" w:color="auto" w:sz="4" w:space="0"/>
              <w:left w:val="nil"/>
              <w:bottom w:val="single" w:color="auto" w:sz="4" w:space="0"/>
              <w:right w:val="single" w:color="auto" w:sz="4" w:space="0"/>
            </w:tcBorders>
            <w:noWrap w:val="0"/>
            <w:vAlign w:val="center"/>
          </w:tcPr>
          <w:p w14:paraId="4BFF9BDE">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kern w:val="0"/>
                <w:sz w:val="24"/>
                <w:szCs w:val="24"/>
                <w:highlight w:val="none"/>
              </w:rPr>
            </w:pPr>
            <w:r>
              <w:rPr>
                <w:rFonts w:hint="eastAsia" w:ascii="宋体" w:hAnsi="宋体" w:eastAsia="宋体" w:cs="宋体"/>
                <w:b/>
                <w:bCs/>
                <w:color w:val="auto"/>
                <w:sz w:val="24"/>
                <w:szCs w:val="24"/>
                <w:highlight w:val="none"/>
              </w:rPr>
              <w:t>交货期</w:t>
            </w:r>
          </w:p>
        </w:tc>
      </w:tr>
      <w:tr w14:paraId="21E7B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6" w:hRule="atLeast"/>
        </w:trPr>
        <w:tc>
          <w:tcPr>
            <w:tcW w:w="1851" w:type="dxa"/>
            <w:tcBorders>
              <w:top w:val="single" w:color="auto" w:sz="4" w:space="0"/>
              <w:left w:val="single" w:color="auto" w:sz="4" w:space="0"/>
              <w:bottom w:val="single" w:color="auto" w:sz="4" w:space="0"/>
              <w:right w:val="single" w:color="auto" w:sz="4" w:space="0"/>
            </w:tcBorders>
            <w:noWrap w:val="0"/>
            <w:vAlign w:val="center"/>
          </w:tcPr>
          <w:p w14:paraId="70CADFD3">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sz w:val="24"/>
                <w:szCs w:val="24"/>
                <w:highlight w:val="none"/>
              </w:rPr>
            </w:pPr>
          </w:p>
        </w:tc>
        <w:tc>
          <w:tcPr>
            <w:tcW w:w="1827" w:type="dxa"/>
            <w:tcBorders>
              <w:top w:val="single" w:color="auto" w:sz="4" w:space="0"/>
              <w:left w:val="nil"/>
              <w:bottom w:val="single" w:color="auto" w:sz="4" w:space="0"/>
              <w:right w:val="single" w:color="auto" w:sz="4" w:space="0"/>
            </w:tcBorders>
            <w:noWrap w:val="0"/>
            <w:vAlign w:val="center"/>
          </w:tcPr>
          <w:p w14:paraId="034110F8">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sz w:val="24"/>
                <w:szCs w:val="24"/>
                <w:highlight w:val="none"/>
              </w:rPr>
            </w:pPr>
          </w:p>
        </w:tc>
        <w:tc>
          <w:tcPr>
            <w:tcW w:w="1890" w:type="dxa"/>
            <w:tcBorders>
              <w:top w:val="single" w:color="auto" w:sz="4" w:space="0"/>
              <w:left w:val="nil"/>
              <w:bottom w:val="single" w:color="auto" w:sz="4" w:space="0"/>
              <w:right w:val="single" w:color="auto" w:sz="4" w:space="0"/>
            </w:tcBorders>
            <w:noWrap w:val="0"/>
            <w:vAlign w:val="center"/>
          </w:tcPr>
          <w:p w14:paraId="0C4AF778">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sz w:val="24"/>
                <w:szCs w:val="24"/>
                <w:highlight w:val="none"/>
              </w:rPr>
            </w:pPr>
          </w:p>
        </w:tc>
        <w:tc>
          <w:tcPr>
            <w:tcW w:w="945" w:type="dxa"/>
            <w:tcBorders>
              <w:top w:val="single" w:color="auto" w:sz="4" w:space="0"/>
              <w:left w:val="nil"/>
              <w:bottom w:val="single" w:color="auto" w:sz="4" w:space="0"/>
              <w:right w:val="single" w:color="auto" w:sz="4" w:space="0"/>
            </w:tcBorders>
            <w:noWrap w:val="0"/>
            <w:vAlign w:val="center"/>
          </w:tcPr>
          <w:p w14:paraId="73E8B3B0">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sz w:val="24"/>
                <w:szCs w:val="24"/>
                <w:highlight w:val="none"/>
              </w:rPr>
            </w:pPr>
          </w:p>
        </w:tc>
        <w:tc>
          <w:tcPr>
            <w:tcW w:w="1155" w:type="dxa"/>
            <w:tcBorders>
              <w:top w:val="single" w:color="auto" w:sz="4" w:space="0"/>
              <w:left w:val="nil"/>
              <w:bottom w:val="single" w:color="auto" w:sz="4" w:space="0"/>
              <w:right w:val="single" w:color="auto" w:sz="4" w:space="0"/>
            </w:tcBorders>
            <w:noWrap w:val="0"/>
            <w:vAlign w:val="center"/>
          </w:tcPr>
          <w:p w14:paraId="4D3724CE">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sz w:val="24"/>
                <w:szCs w:val="24"/>
                <w:highlight w:val="none"/>
              </w:rPr>
            </w:pPr>
          </w:p>
        </w:tc>
        <w:tc>
          <w:tcPr>
            <w:tcW w:w="1302" w:type="dxa"/>
            <w:tcBorders>
              <w:top w:val="nil"/>
              <w:left w:val="nil"/>
              <w:bottom w:val="single" w:color="auto" w:sz="4" w:space="0"/>
              <w:right w:val="single" w:color="auto" w:sz="4" w:space="0"/>
            </w:tcBorders>
            <w:noWrap w:val="0"/>
            <w:vAlign w:val="center"/>
          </w:tcPr>
          <w:p w14:paraId="76BEF221">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kern w:val="0"/>
                <w:sz w:val="24"/>
                <w:szCs w:val="24"/>
                <w:highlight w:val="none"/>
              </w:rPr>
            </w:pPr>
          </w:p>
        </w:tc>
      </w:tr>
      <w:tr w14:paraId="4EDEC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2" w:hRule="atLeast"/>
        </w:trPr>
        <w:tc>
          <w:tcPr>
            <w:tcW w:w="5568" w:type="dxa"/>
            <w:gridSpan w:val="3"/>
            <w:tcBorders>
              <w:top w:val="single" w:color="auto" w:sz="4" w:space="0"/>
              <w:left w:val="single" w:color="auto" w:sz="4" w:space="0"/>
              <w:bottom w:val="single" w:color="auto" w:sz="4" w:space="0"/>
              <w:right w:val="single" w:color="auto" w:sz="4" w:space="0"/>
            </w:tcBorders>
            <w:noWrap w:val="0"/>
            <w:vAlign w:val="center"/>
          </w:tcPr>
          <w:p w14:paraId="07114CD0">
            <w:pPr>
              <w:keepNext w:val="0"/>
              <w:keepLines w:val="0"/>
              <w:pageBreakBefore w:val="0"/>
              <w:widowControl/>
              <w:kinsoku/>
              <w:wordWrap/>
              <w:overflowPunct/>
              <w:topLinePunct w:val="0"/>
              <w:autoSpaceDE/>
              <w:autoSpaceDN/>
              <w:bidi w:val="0"/>
              <w:adjustRightInd/>
              <w:snapToGrid/>
              <w:spacing w:line="520" w:lineRule="exact"/>
              <w:jc w:val="right"/>
              <w:rPr>
                <w:rFonts w:hint="eastAsia" w:ascii="宋体" w:hAnsi="宋体" w:eastAsia="宋体" w:cs="宋体"/>
                <w:color w:val="auto"/>
                <w:kern w:val="0"/>
                <w:sz w:val="24"/>
                <w:szCs w:val="24"/>
                <w:highlight w:val="none"/>
              </w:rPr>
            </w:pPr>
            <w:r>
              <w:rPr>
                <w:rFonts w:hint="eastAsia" w:ascii="宋体" w:hAnsi="宋体" w:eastAsia="宋体" w:cs="宋体"/>
                <w:b/>
                <w:bCs/>
                <w:color w:val="auto"/>
                <w:sz w:val="24"/>
                <w:szCs w:val="24"/>
                <w:highlight w:val="none"/>
              </w:rPr>
              <w:t>总计：</w:t>
            </w:r>
          </w:p>
        </w:tc>
        <w:tc>
          <w:tcPr>
            <w:tcW w:w="3402" w:type="dxa"/>
            <w:gridSpan w:val="3"/>
            <w:tcBorders>
              <w:top w:val="single" w:color="auto" w:sz="4" w:space="0"/>
              <w:left w:val="nil"/>
              <w:bottom w:val="single" w:color="auto" w:sz="4" w:space="0"/>
              <w:right w:val="single" w:color="auto" w:sz="4" w:space="0"/>
            </w:tcBorders>
            <w:noWrap w:val="0"/>
            <w:vAlign w:val="center"/>
          </w:tcPr>
          <w:p w14:paraId="7AED314E">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元</w:t>
            </w:r>
          </w:p>
        </w:tc>
      </w:tr>
      <w:tr w14:paraId="31747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2" w:hRule="atLeast"/>
        </w:trPr>
        <w:tc>
          <w:tcPr>
            <w:tcW w:w="5568" w:type="dxa"/>
            <w:gridSpan w:val="3"/>
            <w:tcBorders>
              <w:top w:val="single" w:color="auto" w:sz="4" w:space="0"/>
              <w:left w:val="single" w:color="auto" w:sz="4" w:space="0"/>
              <w:bottom w:val="single" w:color="auto" w:sz="4" w:space="0"/>
              <w:right w:val="single" w:color="auto" w:sz="4" w:space="0"/>
            </w:tcBorders>
            <w:noWrap w:val="0"/>
            <w:vAlign w:val="center"/>
          </w:tcPr>
          <w:p w14:paraId="4D713000">
            <w:pPr>
              <w:keepNext w:val="0"/>
              <w:keepLines w:val="0"/>
              <w:pageBreakBefore w:val="0"/>
              <w:widowControl/>
              <w:kinsoku/>
              <w:wordWrap/>
              <w:overflowPunct/>
              <w:topLinePunct w:val="0"/>
              <w:autoSpaceDE/>
              <w:autoSpaceDN/>
              <w:bidi w:val="0"/>
              <w:adjustRightInd/>
              <w:snapToGrid/>
              <w:spacing w:line="520" w:lineRule="exact"/>
              <w:jc w:val="right"/>
              <w:rPr>
                <w:rFonts w:hint="eastAsia" w:ascii="宋体" w:hAnsi="宋体" w:eastAsia="宋体" w:cs="宋体"/>
                <w:color w:val="auto"/>
                <w:kern w:val="0"/>
                <w:sz w:val="24"/>
                <w:szCs w:val="24"/>
                <w:highlight w:val="none"/>
              </w:rPr>
            </w:pPr>
            <w:r>
              <w:rPr>
                <w:rFonts w:hint="eastAsia" w:ascii="宋体" w:hAnsi="宋体" w:eastAsia="宋体" w:cs="宋体"/>
                <w:b/>
                <w:bCs/>
                <w:color w:val="auto"/>
                <w:sz w:val="24"/>
                <w:szCs w:val="24"/>
                <w:highlight w:val="none"/>
              </w:rPr>
              <w:t>大写：</w:t>
            </w:r>
          </w:p>
        </w:tc>
        <w:tc>
          <w:tcPr>
            <w:tcW w:w="3402" w:type="dxa"/>
            <w:gridSpan w:val="3"/>
            <w:tcBorders>
              <w:top w:val="single" w:color="auto" w:sz="4" w:space="0"/>
              <w:left w:val="nil"/>
              <w:bottom w:val="single" w:color="auto" w:sz="4" w:space="0"/>
              <w:right w:val="single" w:color="auto" w:sz="4" w:space="0"/>
            </w:tcBorders>
            <w:noWrap w:val="0"/>
            <w:vAlign w:val="center"/>
          </w:tcPr>
          <w:p w14:paraId="630560D6">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kern w:val="0"/>
                <w:sz w:val="24"/>
                <w:szCs w:val="24"/>
                <w:highlight w:val="none"/>
              </w:rPr>
            </w:pPr>
          </w:p>
        </w:tc>
      </w:tr>
    </w:tbl>
    <w:p w14:paraId="342D2282">
      <w:pPr>
        <w:keepNext w:val="0"/>
        <w:keepLines w:val="0"/>
        <w:pageBreakBefore w:val="0"/>
        <w:widowControl/>
        <w:kinsoku/>
        <w:wordWrap/>
        <w:overflowPunct/>
        <w:topLinePunct w:val="0"/>
        <w:autoSpaceDE/>
        <w:autoSpaceDN/>
        <w:bidi w:val="0"/>
        <w:adjustRightInd/>
        <w:snapToGrid/>
        <w:spacing w:line="520" w:lineRule="exact"/>
        <w:jc w:val="left"/>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二、安装调试要求</w:t>
      </w:r>
      <w:r>
        <w:rPr>
          <w:rFonts w:hint="eastAsia" w:ascii="宋体" w:hAnsi="宋体" w:cs="宋体"/>
          <w:b/>
          <w:color w:val="auto"/>
          <w:sz w:val="24"/>
          <w:szCs w:val="24"/>
          <w:highlight w:val="none"/>
          <w:lang w:eastAsia="zh-CN"/>
        </w:rPr>
        <w:t>：</w:t>
      </w:r>
    </w:p>
    <w:p w14:paraId="763F2F48">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设备安装调试或项目建设符合</w:t>
      </w:r>
      <w:r>
        <w:rPr>
          <w:rFonts w:hint="eastAsia" w:ascii="宋体" w:hAnsi="宋体" w:eastAsia="宋体" w:cs="宋体"/>
          <w:color w:val="auto"/>
          <w:sz w:val="24"/>
          <w:szCs w:val="24"/>
          <w:highlight w:val="none"/>
          <w:u w:val="single"/>
        </w:rPr>
        <w:t xml:space="preserve">  国家、行业或厂家</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标准，并满足甲方技术要求，乙方负责进行设备的免费安装测试同时完成。</w:t>
      </w:r>
    </w:p>
    <w:p w14:paraId="0DB836FB">
      <w:pPr>
        <w:keepNext w:val="0"/>
        <w:keepLines w:val="0"/>
        <w:pageBreakBefore w:val="0"/>
        <w:widowControl/>
        <w:kinsoku/>
        <w:wordWrap/>
        <w:overflowPunct/>
        <w:topLinePunct w:val="0"/>
        <w:autoSpaceDE/>
        <w:autoSpaceDN/>
        <w:bidi w:val="0"/>
        <w:adjustRightInd/>
        <w:snapToGrid/>
        <w:spacing w:line="52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三、合同总价</w:t>
      </w:r>
      <w:r>
        <w:rPr>
          <w:rFonts w:hint="eastAsia" w:ascii="宋体" w:hAnsi="宋体" w:eastAsia="宋体" w:cs="宋体"/>
          <w:color w:val="auto"/>
          <w:sz w:val="24"/>
          <w:szCs w:val="24"/>
          <w:highlight w:val="none"/>
        </w:rPr>
        <w:t>(大写)</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(人民币</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元)</w:t>
      </w:r>
    </w:p>
    <w:p w14:paraId="136560FF">
      <w:pPr>
        <w:keepNext w:val="0"/>
        <w:keepLines w:val="0"/>
        <w:pageBreakBefore w:val="0"/>
        <w:widowControl/>
        <w:kinsoku/>
        <w:wordWrap/>
        <w:overflowPunct/>
        <w:topLinePunct w:val="0"/>
        <w:autoSpaceDE/>
        <w:autoSpaceDN/>
        <w:bidi w:val="0"/>
        <w:adjustRightInd/>
        <w:snapToGrid/>
        <w:spacing w:line="520" w:lineRule="exact"/>
        <w:ind w:firstLine="1560" w:firstLineChars="6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小写</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5858E481">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以上价格为甲方指定地点交货价并包含安装、运输、调试、税收等所有费用。</w:t>
      </w:r>
    </w:p>
    <w:p w14:paraId="7C8A0E63">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本合同的供货范围，除包括上述货物外，还包括随附的技术文档、设备运行所必需的随机消耗品（如箱包等)，相应的技术服务与质量保证文件。</w:t>
      </w:r>
    </w:p>
    <w:p w14:paraId="75418F86">
      <w:pPr>
        <w:keepNext w:val="0"/>
        <w:keepLines w:val="0"/>
        <w:pageBreakBefore w:val="0"/>
        <w:widowControl/>
        <w:kinsoku/>
        <w:wordWrap/>
        <w:overflowPunct/>
        <w:topLinePunct w:val="0"/>
        <w:autoSpaceDE/>
        <w:autoSpaceDN/>
        <w:bidi w:val="0"/>
        <w:adjustRightInd/>
        <w:snapToGrid/>
        <w:spacing w:line="520" w:lineRule="exact"/>
        <w:jc w:val="left"/>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四、甲乙双方的权利和义务</w:t>
      </w:r>
      <w:r>
        <w:rPr>
          <w:rFonts w:hint="eastAsia" w:ascii="宋体" w:hAnsi="宋体" w:cs="宋体"/>
          <w:b/>
          <w:color w:val="auto"/>
          <w:sz w:val="24"/>
          <w:szCs w:val="24"/>
          <w:highlight w:val="none"/>
          <w:lang w:eastAsia="zh-CN"/>
        </w:rPr>
        <w:t>：</w:t>
      </w:r>
    </w:p>
    <w:p w14:paraId="1D6ECAF5">
      <w:pPr>
        <w:keepNext w:val="0"/>
        <w:keepLines w:val="0"/>
        <w:pageBreakBefore w:val="0"/>
        <w:widowControl/>
        <w:kinsoku/>
        <w:wordWrap/>
        <w:overflowPunct/>
        <w:topLinePunct w:val="0"/>
        <w:autoSpaceDE/>
        <w:autoSpaceDN/>
        <w:bidi w:val="0"/>
        <w:adjustRightInd/>
        <w:snapToGrid/>
        <w:spacing w:line="520" w:lineRule="exact"/>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(一)甲方的权利和义务</w:t>
      </w:r>
    </w:p>
    <w:p w14:paraId="7C6F27D3">
      <w:pPr>
        <w:keepNext w:val="0"/>
        <w:keepLines w:val="0"/>
        <w:pageBreakBefore w:val="0"/>
        <w:widowControl/>
        <w:kinsoku/>
        <w:wordWrap/>
        <w:overflowPunct/>
        <w:topLinePunct w:val="0"/>
        <w:autoSpaceDE/>
        <w:autoSpaceDN/>
        <w:bidi w:val="0"/>
        <w:adjustRightInd/>
        <w:snapToGrid/>
        <w:spacing w:line="520" w:lineRule="exact"/>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1、负责合同签订后项目的配合，协调工作(如与乙方的具体联系和衔接，设备现场安装调试或项目建设施工时和相关人员进行协调、配合)。</w:t>
      </w:r>
    </w:p>
    <w:p w14:paraId="2C021EDB">
      <w:pPr>
        <w:keepNext w:val="0"/>
        <w:keepLines w:val="0"/>
        <w:pageBreakBefore w:val="0"/>
        <w:widowControl/>
        <w:kinsoku/>
        <w:wordWrap/>
        <w:overflowPunct/>
        <w:topLinePunct w:val="0"/>
        <w:autoSpaceDE/>
        <w:autoSpaceDN/>
        <w:bidi w:val="0"/>
        <w:adjustRightInd/>
        <w:snapToGrid/>
        <w:spacing w:line="52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2、负责提供设备和安装调试或项目建设施工所必须的场地和环境。</w:t>
      </w:r>
    </w:p>
    <w:p w14:paraId="6D590CD1">
      <w:pPr>
        <w:keepNext w:val="0"/>
        <w:keepLines w:val="0"/>
        <w:pageBreakBefore w:val="0"/>
        <w:widowControl/>
        <w:kinsoku/>
        <w:wordWrap/>
        <w:overflowPunct/>
        <w:topLinePunct w:val="0"/>
        <w:autoSpaceDE/>
        <w:autoSpaceDN/>
        <w:bidi w:val="0"/>
        <w:adjustRightInd/>
        <w:snapToGrid/>
        <w:spacing w:line="520" w:lineRule="exact"/>
        <w:ind w:firstLine="360" w:firstLineChars="15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3、负责组织成立验收小组对设备或项目进行验收并签署验收报告。</w:t>
      </w:r>
    </w:p>
    <w:p w14:paraId="04676FCC">
      <w:pPr>
        <w:keepNext w:val="0"/>
        <w:keepLines w:val="0"/>
        <w:pageBreakBefore w:val="0"/>
        <w:widowControl/>
        <w:kinsoku/>
        <w:wordWrap/>
        <w:overflowPunct/>
        <w:topLinePunct w:val="0"/>
        <w:autoSpaceDE/>
        <w:autoSpaceDN/>
        <w:bidi w:val="0"/>
        <w:adjustRightInd/>
        <w:snapToGrid/>
        <w:spacing w:line="520" w:lineRule="exact"/>
        <w:ind w:firstLine="360" w:firstLineChars="1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4、按合同约定享有乙方提供的设备和项目服务。</w:t>
      </w:r>
    </w:p>
    <w:p w14:paraId="37D6F1E0">
      <w:pPr>
        <w:keepNext w:val="0"/>
        <w:keepLines w:val="0"/>
        <w:pageBreakBefore w:val="0"/>
        <w:widowControl/>
        <w:kinsoku/>
        <w:wordWrap/>
        <w:overflowPunct/>
        <w:topLinePunct w:val="0"/>
        <w:autoSpaceDE/>
        <w:autoSpaceDN/>
        <w:bidi w:val="0"/>
        <w:adjustRightInd/>
        <w:snapToGrid/>
        <w:spacing w:line="520" w:lineRule="exact"/>
        <w:ind w:firstLine="360" w:firstLineChars="15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(二)乙方的权利和义务</w:t>
      </w:r>
    </w:p>
    <w:p w14:paraId="03319A83">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1、乙方保证按本合同一、二、三、四条款负责完成甲方项目，并保证提供的设备是全新(包括零部件)、符合</w:t>
      </w:r>
      <w:r>
        <w:rPr>
          <w:rFonts w:hint="eastAsia" w:ascii="宋体" w:hAnsi="宋体" w:cs="宋体"/>
          <w:color w:val="auto"/>
          <w:sz w:val="24"/>
          <w:szCs w:val="24"/>
          <w:highlight w:val="none"/>
          <w:lang w:eastAsia="zh-CN"/>
        </w:rPr>
        <w:t>招标文件</w:t>
      </w:r>
      <w:r>
        <w:rPr>
          <w:rFonts w:hint="eastAsia" w:ascii="宋体" w:hAnsi="宋体" w:eastAsia="宋体" w:cs="宋体"/>
          <w:color w:val="auto"/>
          <w:sz w:val="24"/>
          <w:szCs w:val="24"/>
          <w:highlight w:val="none"/>
        </w:rPr>
        <w:t>规定、具有国家有关部门注册并符合国家质量检测标准(进口产品具有国家有关部门完整手续)和产品出厂标准的设备，设备到位后能够匹配整体投入使用。</w:t>
      </w:r>
    </w:p>
    <w:p w14:paraId="297670B5">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保证提供的设备及其它产品不是翻新机、二手机、样机、走私机、库存机、故障机等，不是慈善工程、扶贫工程等产品，若甲方在验收时或验收后发现乙方提供的设备及其它产品属于上述机型、产品，甲方有拒绝验收、退货、拒绝付款等权利。</w:t>
      </w:r>
    </w:p>
    <w:p w14:paraId="5FF29000">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3、保证甲方在合同设备或项目(有配套软件的还包括软件产品)使用期间不受第三方提出侵犯其专利权、商标权和工业设计权等相关权利的起诉。</w:t>
      </w:r>
    </w:p>
    <w:p w14:paraId="5F0B32F1">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4、严格遵守投标、技术澄清、商务谈判、中标所承诺的一切规定和条款。</w:t>
      </w:r>
    </w:p>
    <w:p w14:paraId="0D439F1E">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5、参与甲方共同进行设备和项目的验收。</w:t>
      </w:r>
    </w:p>
    <w:p w14:paraId="7F0A7C75">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6、乙方提供的设备在质保期内出现质量、性能、效果等问题，必要时免费更换配件或整机。</w:t>
      </w:r>
    </w:p>
    <w:p w14:paraId="1F425A64">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7、乙方提供现场技术培训，保证使用人员正常操作设备的各种功能。</w:t>
      </w:r>
    </w:p>
    <w:p w14:paraId="4C723D5B">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8、乙方享有甲方按合同约定付款。</w:t>
      </w:r>
    </w:p>
    <w:p w14:paraId="3772B5EA">
      <w:pPr>
        <w:keepNext w:val="0"/>
        <w:keepLines w:val="0"/>
        <w:pageBreakBefore w:val="0"/>
        <w:widowControl/>
        <w:kinsoku/>
        <w:wordWrap/>
        <w:overflowPunct/>
        <w:topLinePunct w:val="0"/>
        <w:autoSpaceDE/>
        <w:autoSpaceDN/>
        <w:bidi w:val="0"/>
        <w:adjustRightInd/>
        <w:snapToGrid/>
        <w:spacing w:line="520" w:lineRule="exact"/>
        <w:ind w:firstLine="482" w:firstLineChars="200"/>
        <w:jc w:val="left"/>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五、设备保修：</w:t>
      </w:r>
    </w:p>
    <w:p w14:paraId="01420741">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1、自验收合格之日起保修</w:t>
      </w:r>
      <w:r>
        <w:rPr>
          <w:rFonts w:hint="eastAsia" w:ascii="宋体" w:hAnsi="宋体" w:cs="宋体"/>
          <w:color w:val="FF0000"/>
          <w:sz w:val="24"/>
          <w:szCs w:val="24"/>
          <w:highlight w:val="none"/>
          <w:lang w:val="en-US" w:eastAsia="zh-CN"/>
        </w:rPr>
        <w:t>5</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保修期满后发生的维修收取合理的材料费和工时费。</w:t>
      </w:r>
    </w:p>
    <w:p w14:paraId="02395BCA">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2、报修响应时间</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2</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小时内响应，</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24</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小时内到现场解决问题。</w:t>
      </w:r>
    </w:p>
    <w:p w14:paraId="7D0B8074">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六、技术支持</w:t>
      </w:r>
      <w:r>
        <w:rPr>
          <w:rFonts w:hint="eastAsia" w:ascii="宋体" w:hAnsi="宋体" w:cs="宋体"/>
          <w:color w:val="auto"/>
          <w:sz w:val="24"/>
          <w:szCs w:val="24"/>
          <w:highlight w:val="none"/>
          <w:lang w:eastAsia="zh-CN"/>
        </w:rPr>
        <w:t>：</w:t>
      </w:r>
    </w:p>
    <w:p w14:paraId="296FB5D2">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1、甲方在设备使用过程中发生技术质量问题，乙方应提供及时有效的技术支持。</w:t>
      </w:r>
    </w:p>
    <w:p w14:paraId="5DD317FE">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2、乙方应向甲方提供在省内的维修服务中心、特约维修服务站等售后服务网点的名单、联系地址、联系电话。</w:t>
      </w:r>
    </w:p>
    <w:p w14:paraId="11019E27">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技术支持电话</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rPr>
        <w:t>联系人</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37EDC8B">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3、在保修期内应定期提供预防性保养服务</w:t>
      </w:r>
      <w:r>
        <w:rPr>
          <w:rFonts w:hint="eastAsia" w:ascii="宋体" w:hAnsi="宋体" w:eastAsia="宋体" w:cs="宋体"/>
          <w:color w:val="auto"/>
          <w:sz w:val="24"/>
          <w:szCs w:val="24"/>
          <w:highlight w:val="none"/>
          <w:u w:val="single"/>
        </w:rPr>
        <w:t>2次/年</w:t>
      </w:r>
      <w:r>
        <w:rPr>
          <w:rFonts w:hint="eastAsia" w:ascii="宋体" w:hAnsi="宋体" w:eastAsia="宋体" w:cs="宋体"/>
          <w:color w:val="auto"/>
          <w:sz w:val="24"/>
          <w:szCs w:val="24"/>
          <w:highlight w:val="none"/>
        </w:rPr>
        <w:t>以上，所需费用由乙方承担。</w:t>
      </w:r>
    </w:p>
    <w:p w14:paraId="04DCA925">
      <w:pPr>
        <w:keepNext w:val="0"/>
        <w:keepLines w:val="0"/>
        <w:pageBreakBefore w:val="0"/>
        <w:widowControl/>
        <w:kinsoku/>
        <w:wordWrap/>
        <w:overflowPunct/>
        <w:topLinePunct w:val="0"/>
        <w:autoSpaceDE/>
        <w:autoSpaceDN/>
        <w:bidi w:val="0"/>
        <w:adjustRightInd/>
        <w:snapToGrid/>
        <w:spacing w:line="520" w:lineRule="exact"/>
        <w:ind w:firstLine="482" w:firstLineChars="200"/>
        <w:jc w:val="left"/>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六、验收及验收标准</w:t>
      </w:r>
      <w:r>
        <w:rPr>
          <w:rFonts w:hint="eastAsia" w:ascii="宋体" w:hAnsi="宋体" w:cs="宋体"/>
          <w:b/>
          <w:color w:val="auto"/>
          <w:sz w:val="24"/>
          <w:szCs w:val="24"/>
          <w:highlight w:val="none"/>
          <w:lang w:eastAsia="zh-CN"/>
        </w:rPr>
        <w:t>：</w:t>
      </w:r>
    </w:p>
    <w:p w14:paraId="0C1268CF">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1、设备验收</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设备到达甲方指定地点后甲乙双方统一验收是否符合合同要求。</w:t>
      </w:r>
    </w:p>
    <w:p w14:paraId="14670BF2">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设备交验地点和方式</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合同签订后，乙方负责将完整配套的原封设备(含开机必要消耗品)送到甲方指定的地点</w:t>
      </w:r>
      <w:r>
        <w:rPr>
          <w:rFonts w:hint="eastAsia" w:ascii="宋体" w:hAnsi="宋体" w:eastAsia="宋体" w:cs="宋体"/>
          <w:color w:val="auto"/>
          <w:sz w:val="24"/>
          <w:szCs w:val="24"/>
          <w:highlight w:val="none"/>
          <w:u w:val="single"/>
        </w:rPr>
        <w:t>(红河州第二人民医院</w:t>
      </w:r>
      <w:r>
        <w:rPr>
          <w:rFonts w:hint="eastAsia" w:ascii="宋体" w:hAnsi="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即本合同履行地</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由甲乙双方共同开箱验收，并由乙方按规范要求完成安装及测试等；交货时，乙方随货向甲方交付设备必需的合格证，保修卡，相关资料(如操作手册、使用指南、维修手册、安装调试说明书、服务手册等)及配备的用件、工具等；货物到达指定交货地点后，将由甲方和乙方进行集中验货，若开箱加电测试发现不合格的货物，乙方必须予以更换。在货物最终验收后的质量保证期，乙方应对由于设计、工艺或者材料的缺陷而发生的任何不足或故障负责，费用由乙方承担。</w:t>
      </w:r>
    </w:p>
    <w:p w14:paraId="11CE5C56">
      <w:pPr>
        <w:keepNext w:val="0"/>
        <w:keepLines w:val="0"/>
        <w:pageBreakBefore w:val="0"/>
        <w:widowControl/>
        <w:kinsoku/>
        <w:wordWrap/>
        <w:overflowPunct/>
        <w:topLinePunct w:val="0"/>
        <w:autoSpaceDE/>
        <w:autoSpaceDN/>
        <w:bidi w:val="0"/>
        <w:adjustRightInd/>
        <w:snapToGrid/>
        <w:spacing w:line="520" w:lineRule="exact"/>
        <w:ind w:firstLine="240" w:firstLineChars="1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2、项目验收</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设备安装和调试或项目建设施工完成后，甲方检验、测试是否合格并满足招标技术要求。需要国家相关部门或第三方检测的，须通过检测合格后方可视为验收合格，检测费用由乙方承担。验收过程中，出现下列情况之一，即视为验收不合格：（1）设备质量、性能、效果不能满足招标技术要求及验收标准；（2）货物到达指定交货地点30天内，乙方不能提供完整的技术白皮书加以验证。一旦验收不合格，甲方有权无条件退货并单方面解除合同，同时向相关部门要求作废标处理，除产生的损失由乙方全部承担外，乙方还需向甲方赔偿合同总价</w:t>
      </w:r>
      <w:r>
        <w:rPr>
          <w:rFonts w:hint="eastAsia" w:ascii="宋体" w:hAnsi="宋体" w:eastAsia="宋体" w:cs="宋体"/>
          <w:color w:val="auto"/>
          <w:sz w:val="24"/>
          <w:szCs w:val="24"/>
          <w:highlight w:val="none"/>
          <w:lang w:val="en-US" w:eastAsia="zh-CN"/>
        </w:rPr>
        <w:t>10%的违约金</w:t>
      </w:r>
      <w:r>
        <w:rPr>
          <w:rFonts w:hint="eastAsia" w:ascii="宋体" w:hAnsi="宋体" w:eastAsia="宋体" w:cs="宋体"/>
          <w:color w:val="auto"/>
          <w:sz w:val="24"/>
          <w:szCs w:val="24"/>
          <w:highlight w:val="none"/>
        </w:rPr>
        <w:t>。</w:t>
      </w:r>
    </w:p>
    <w:p w14:paraId="320E2268">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3、验收标准</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按国家、行业或厂家标准</w:t>
      </w:r>
      <w:r>
        <w:rPr>
          <w:rFonts w:hint="eastAsia" w:ascii="宋体" w:hAnsi="宋体" w:cs="宋体"/>
          <w:color w:val="auto"/>
          <w:sz w:val="24"/>
          <w:szCs w:val="24"/>
          <w:highlight w:val="none"/>
          <w:lang w:eastAsia="zh-CN"/>
        </w:rPr>
        <w:t>.</w:t>
      </w:r>
    </w:p>
    <w:p w14:paraId="12E476AE">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4、乙方需提供完整的进口产品手续（如非整机进口，需提供核心部件），如报关单、商检证等，如乙方无法提供则视为验收不合格，甲方不予支付任何款项。</w:t>
      </w:r>
    </w:p>
    <w:p w14:paraId="29989DA7">
      <w:pPr>
        <w:keepNext w:val="0"/>
        <w:keepLines w:val="0"/>
        <w:pageBreakBefore w:val="0"/>
        <w:widowControl/>
        <w:kinsoku/>
        <w:wordWrap/>
        <w:overflowPunct/>
        <w:topLinePunct w:val="0"/>
        <w:autoSpaceDE/>
        <w:autoSpaceDN/>
        <w:bidi w:val="0"/>
        <w:adjustRightInd/>
        <w:snapToGrid/>
        <w:spacing w:line="520" w:lineRule="exact"/>
        <w:ind w:firstLine="240" w:firstLineChars="1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5、必须免费开放DICOM端口、Work list列表，有静态密码、动态密码的设备也应免费提供，在设备需要接入医院信息系统时，尚需免费配合信息科做好相关对接工作。</w:t>
      </w:r>
    </w:p>
    <w:p w14:paraId="07CC523D">
      <w:pPr>
        <w:keepNext w:val="0"/>
        <w:keepLines w:val="0"/>
        <w:pageBreakBefore w:val="0"/>
        <w:widowControl/>
        <w:kinsoku/>
        <w:wordWrap/>
        <w:overflowPunct/>
        <w:topLinePunct w:val="0"/>
        <w:autoSpaceDE/>
        <w:autoSpaceDN/>
        <w:bidi w:val="0"/>
        <w:adjustRightInd/>
        <w:snapToGrid/>
        <w:spacing w:line="520" w:lineRule="exact"/>
        <w:ind w:firstLine="482" w:firstLineChars="200"/>
        <w:jc w:val="left"/>
        <w:textAlignment w:val="auto"/>
        <w:rPr>
          <w:rFonts w:hint="eastAsia" w:ascii="宋体" w:hAnsi="宋体" w:cs="宋体"/>
          <w:b/>
          <w:color w:val="auto"/>
          <w:sz w:val="24"/>
          <w:szCs w:val="24"/>
          <w:highlight w:val="none"/>
          <w:lang w:eastAsia="zh-CN"/>
        </w:rPr>
      </w:pPr>
      <w:r>
        <w:rPr>
          <w:rFonts w:hint="eastAsia" w:ascii="宋体" w:hAnsi="宋体" w:eastAsia="宋体" w:cs="宋体"/>
          <w:b/>
          <w:color w:val="auto"/>
          <w:sz w:val="24"/>
          <w:szCs w:val="24"/>
          <w:highlight w:val="none"/>
        </w:rPr>
        <w:t>七、合同价款结算</w:t>
      </w:r>
      <w:r>
        <w:rPr>
          <w:rFonts w:hint="eastAsia" w:ascii="宋体" w:hAnsi="宋体" w:cs="宋体"/>
          <w:b/>
          <w:color w:val="auto"/>
          <w:sz w:val="24"/>
          <w:szCs w:val="24"/>
          <w:highlight w:val="none"/>
          <w:lang w:eastAsia="zh-CN"/>
        </w:rPr>
        <w:t>：</w:t>
      </w:r>
    </w:p>
    <w:p w14:paraId="2C1DDC10">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设备安装到位、调试使用正常、验收合格、手续齐全后支付合同总价的</w:t>
      </w: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rPr>
        <w:t>%，即¥：</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元(大写         )。正常使用</w:t>
      </w:r>
      <w:r>
        <w:rPr>
          <w:rFonts w:hint="eastAsia" w:ascii="宋体" w:hAnsi="宋体" w:eastAsia="宋体" w:cs="宋体"/>
          <w:color w:val="auto"/>
          <w:sz w:val="24"/>
          <w:szCs w:val="24"/>
          <w:highlight w:val="none"/>
          <w:lang w:val="en-US" w:eastAsia="zh-CN"/>
        </w:rPr>
        <w:t>一</w:t>
      </w:r>
      <w:r>
        <w:rPr>
          <w:rFonts w:hint="eastAsia" w:ascii="宋体" w:hAnsi="宋体" w:eastAsia="宋体" w:cs="宋体"/>
          <w:color w:val="auto"/>
          <w:sz w:val="24"/>
          <w:szCs w:val="24"/>
          <w:highlight w:val="none"/>
        </w:rPr>
        <w:t>年无质量、性能、效果、服务等问题甲方向乙方支付</w:t>
      </w:r>
      <w:r>
        <w:rPr>
          <w:rFonts w:hint="eastAsia" w:ascii="宋体" w:hAnsi="宋体" w:eastAsia="宋体" w:cs="宋体"/>
          <w:color w:val="auto"/>
          <w:sz w:val="24"/>
          <w:szCs w:val="24"/>
          <w:highlight w:val="none"/>
          <w:lang w:eastAsia="zh-CN"/>
        </w:rPr>
        <w:t>合同价的</w:t>
      </w: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rPr>
        <w:t>即¥：</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元（大写     ）。</w:t>
      </w:r>
      <w:r>
        <w:rPr>
          <w:rFonts w:hint="eastAsia" w:ascii="宋体" w:hAnsi="宋体" w:eastAsia="宋体" w:cs="宋体"/>
          <w:color w:val="auto"/>
          <w:sz w:val="24"/>
          <w:szCs w:val="24"/>
          <w:highlight w:val="none"/>
          <w:lang w:val="en-US" w:eastAsia="zh-CN"/>
        </w:rPr>
        <w:t>正常使用一年半后无质量、性能、效果、服务等问题甲方向乙方支付</w:t>
      </w:r>
      <w:r>
        <w:rPr>
          <w:rFonts w:hint="eastAsia" w:ascii="宋体" w:hAnsi="宋体" w:eastAsia="宋体" w:cs="宋体"/>
          <w:color w:val="auto"/>
          <w:sz w:val="24"/>
          <w:szCs w:val="24"/>
          <w:highlight w:val="none"/>
        </w:rPr>
        <w:t>支付</w:t>
      </w:r>
      <w:r>
        <w:rPr>
          <w:rFonts w:hint="eastAsia" w:ascii="宋体" w:hAnsi="宋体" w:eastAsia="宋体" w:cs="宋体"/>
          <w:color w:val="auto"/>
          <w:sz w:val="24"/>
          <w:szCs w:val="24"/>
          <w:highlight w:val="none"/>
          <w:lang w:eastAsia="zh-CN"/>
        </w:rPr>
        <w:t>合同价的</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，即¥：</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元（大写     ）。</w:t>
      </w:r>
      <w:r>
        <w:rPr>
          <w:rFonts w:hint="eastAsia" w:ascii="宋体" w:hAnsi="宋体" w:eastAsia="宋体" w:cs="宋体"/>
          <w:color w:val="auto"/>
          <w:sz w:val="24"/>
          <w:szCs w:val="24"/>
          <w:highlight w:val="none"/>
          <w:lang w:val="en-US" w:eastAsia="zh-CN"/>
        </w:rPr>
        <w:t>正常使用</w:t>
      </w:r>
      <w:r>
        <w:rPr>
          <w:rFonts w:hint="eastAsia" w:ascii="宋体" w:hAnsi="宋体" w:cs="宋体"/>
          <w:color w:val="auto"/>
          <w:sz w:val="24"/>
          <w:szCs w:val="24"/>
          <w:highlight w:val="none"/>
          <w:lang w:val="en-US" w:eastAsia="zh-CN"/>
        </w:rPr>
        <w:t>二年</w:t>
      </w:r>
      <w:r>
        <w:rPr>
          <w:rFonts w:hint="eastAsia" w:ascii="宋体" w:hAnsi="宋体" w:eastAsia="宋体" w:cs="宋体"/>
          <w:color w:val="auto"/>
          <w:sz w:val="24"/>
          <w:szCs w:val="24"/>
          <w:highlight w:val="none"/>
          <w:lang w:val="en-US" w:eastAsia="zh-CN"/>
        </w:rPr>
        <w:t>后无质量、性能、效果、服务等问题甲方向乙方支付剩余20%</w:t>
      </w:r>
      <w:r>
        <w:rPr>
          <w:rFonts w:hint="eastAsia" w:ascii="宋体" w:hAnsi="宋体" w:eastAsia="宋体" w:cs="宋体"/>
          <w:color w:val="auto"/>
          <w:sz w:val="24"/>
          <w:szCs w:val="24"/>
          <w:highlight w:val="none"/>
        </w:rPr>
        <w:t>余款</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即¥：</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元（大写     ）</w:t>
      </w:r>
      <w:r>
        <w:rPr>
          <w:rFonts w:hint="eastAsia" w:ascii="宋体" w:hAnsi="宋体" w:eastAsia="宋体" w:cs="宋体"/>
          <w:color w:val="auto"/>
          <w:sz w:val="24"/>
          <w:szCs w:val="24"/>
          <w:highlight w:val="none"/>
          <w:lang w:eastAsia="zh-CN"/>
        </w:rPr>
        <w:t>。</w:t>
      </w:r>
    </w:p>
    <w:p w14:paraId="2A4F9FC1">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八、违约责任</w:t>
      </w:r>
      <w:r>
        <w:rPr>
          <w:rFonts w:hint="eastAsia" w:ascii="宋体" w:hAnsi="宋体" w:cs="宋体"/>
          <w:b/>
          <w:color w:val="auto"/>
          <w:sz w:val="24"/>
          <w:szCs w:val="24"/>
          <w:highlight w:val="none"/>
          <w:lang w:eastAsia="zh-CN"/>
        </w:rPr>
        <w:t>：</w:t>
      </w:r>
    </w:p>
    <w:p w14:paraId="588D1206">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1、除发生不可抗力事实外，乙方所交设备(或项目)和安装调试（或建设施工)与合同标准不相符合的，甲方有权拒收设备（或项目)；如乙方逾期交货(或完工)，则每日向甲方支付合同总价</w:t>
      </w:r>
      <w:r>
        <w:rPr>
          <w:rFonts w:hint="eastAsia" w:ascii="宋体" w:hAnsi="宋体" w:eastAsia="宋体" w:cs="宋体"/>
          <w:color w:val="auto"/>
          <w:sz w:val="24"/>
          <w:szCs w:val="24"/>
          <w:highlight w:val="none"/>
          <w:lang w:eastAsia="zh-CN"/>
        </w:rPr>
        <w:t>千分之五的违约金</w:t>
      </w:r>
      <w:r>
        <w:rPr>
          <w:rFonts w:hint="eastAsia" w:ascii="宋体" w:hAnsi="宋体" w:eastAsia="宋体" w:cs="宋体"/>
          <w:color w:val="auto"/>
          <w:sz w:val="24"/>
          <w:szCs w:val="24"/>
          <w:highlight w:val="none"/>
        </w:rPr>
        <w:t>；逾期10日仍未能交货，则甲方有权单方解除本合同，同时，乙方还应赔偿甲方损失。</w:t>
      </w:r>
    </w:p>
    <w:p w14:paraId="63B409AF">
      <w:pPr>
        <w:keepNext w:val="0"/>
        <w:keepLines w:val="0"/>
        <w:pageBreakBefore w:val="0"/>
        <w:widowControl/>
        <w:kinsoku/>
        <w:wordWrap/>
        <w:overflowPunct/>
        <w:topLinePunct w:val="0"/>
        <w:autoSpaceDE/>
        <w:autoSpaceDN/>
        <w:bidi w:val="0"/>
        <w:adjustRightInd/>
        <w:snapToGrid/>
        <w:spacing w:line="520" w:lineRule="exact"/>
        <w:ind w:firstLine="240" w:firstLineChars="1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2、乙方应当按照合同约定履行保修、维修义务，否则每违约一次，乙方支付甲方违约金壹万元整（¥：10000</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00元）并赔偿实际损失。</w:t>
      </w:r>
    </w:p>
    <w:p w14:paraId="378E2453">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3、甲方有权拒付合同价以外的任何费用；乙方有权拒绝合同整体范围以外的条件。</w:t>
      </w:r>
    </w:p>
    <w:p w14:paraId="4F1894B1">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4、乙方提供的设备及其它产品若有质量、性能、效果、服务等问题，医院有权减付、拒付或不付款项，并有自由评说等维护权益的权利。</w:t>
      </w:r>
    </w:p>
    <w:p w14:paraId="4637B07E">
      <w:pPr>
        <w:keepNext w:val="0"/>
        <w:keepLines w:val="0"/>
        <w:pageBreakBefore w:val="0"/>
        <w:widowControl/>
        <w:kinsoku/>
        <w:wordWrap/>
        <w:overflowPunct/>
        <w:topLinePunct w:val="0"/>
        <w:autoSpaceDE/>
        <w:autoSpaceDN/>
        <w:bidi w:val="0"/>
        <w:adjustRightInd/>
        <w:snapToGrid/>
        <w:spacing w:line="520" w:lineRule="exact"/>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九、甲乙双方在履行合同过程中发生纠纷，应及时向有关监督管理部门反映，以便相关部门进行协调或处理，协商不成时，双方均有权向</w:t>
      </w:r>
      <w:r>
        <w:rPr>
          <w:rFonts w:hint="eastAsia" w:ascii="宋体" w:hAnsi="宋体" w:eastAsia="宋体" w:cs="宋体"/>
          <w:b/>
          <w:color w:val="auto"/>
          <w:sz w:val="24"/>
          <w:szCs w:val="24"/>
          <w:highlight w:val="none"/>
          <w:lang w:eastAsia="zh-CN"/>
        </w:rPr>
        <w:t>甲方所在</w:t>
      </w:r>
      <w:r>
        <w:rPr>
          <w:rFonts w:hint="eastAsia" w:ascii="宋体" w:hAnsi="宋体" w:eastAsia="宋体" w:cs="宋体"/>
          <w:b/>
          <w:color w:val="auto"/>
          <w:sz w:val="24"/>
          <w:szCs w:val="24"/>
          <w:highlight w:val="none"/>
        </w:rPr>
        <w:t>地人民法院提起诉讼。</w:t>
      </w:r>
    </w:p>
    <w:p w14:paraId="404F5809">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十、本合同其他未尽事宜，按</w:t>
      </w:r>
      <w:r>
        <w:rPr>
          <w:rFonts w:hint="eastAsia" w:ascii="宋体" w:hAnsi="宋体" w:eastAsia="宋体" w:cs="宋体"/>
          <w:b/>
          <w:color w:val="auto"/>
          <w:sz w:val="24"/>
          <w:szCs w:val="24"/>
          <w:highlight w:val="none"/>
          <w:lang w:eastAsia="zh-CN"/>
        </w:rPr>
        <w:t>《中华人民共和国民法典》</w:t>
      </w:r>
      <w:r>
        <w:rPr>
          <w:rFonts w:hint="eastAsia" w:ascii="宋体" w:hAnsi="宋体" w:eastAsia="宋体" w:cs="宋体"/>
          <w:b/>
          <w:color w:val="auto"/>
          <w:sz w:val="24"/>
          <w:szCs w:val="24"/>
          <w:highlight w:val="none"/>
        </w:rPr>
        <w:t>有关规定处理。</w:t>
      </w:r>
    </w:p>
    <w:p w14:paraId="7E8986BD">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十一、本合同一式贰份，甲方执壹份，乙方执壹份。</w:t>
      </w:r>
    </w:p>
    <w:p w14:paraId="1E9595C1">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十二、本合同自甲、乙双方签字，盖章后生效。</w:t>
      </w:r>
    </w:p>
    <w:p w14:paraId="063EAAC0">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十三、本合同不可分割之部分</w:t>
      </w:r>
      <w:r>
        <w:rPr>
          <w:rFonts w:hint="eastAsia" w:ascii="宋体" w:hAnsi="宋体" w:cs="宋体"/>
          <w:b/>
          <w:color w:val="auto"/>
          <w:sz w:val="24"/>
          <w:szCs w:val="24"/>
          <w:highlight w:val="none"/>
          <w:lang w:eastAsia="zh-CN"/>
        </w:rPr>
        <w:t>：</w:t>
      </w:r>
    </w:p>
    <w:p w14:paraId="1A342F18">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1、招标人</w:t>
      </w:r>
      <w:r>
        <w:rPr>
          <w:rFonts w:hint="eastAsia" w:ascii="宋体" w:hAnsi="宋体" w:cs="宋体"/>
          <w:color w:val="auto"/>
          <w:sz w:val="24"/>
          <w:szCs w:val="24"/>
          <w:highlight w:val="none"/>
          <w:lang w:eastAsia="zh-CN"/>
        </w:rPr>
        <w:t>招标文件</w:t>
      </w:r>
      <w:r>
        <w:rPr>
          <w:rFonts w:hint="eastAsia" w:ascii="宋体" w:hAnsi="宋体" w:eastAsia="宋体" w:cs="宋体"/>
          <w:color w:val="auto"/>
          <w:sz w:val="24"/>
          <w:szCs w:val="24"/>
          <w:highlight w:val="none"/>
        </w:rPr>
        <w:t>。</w:t>
      </w:r>
    </w:p>
    <w:p w14:paraId="243E29BB">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2、中标人投标文件或澄清及谈判文件。</w:t>
      </w:r>
    </w:p>
    <w:p w14:paraId="64F48ABA">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3、合同书附件。</w:t>
      </w:r>
    </w:p>
    <w:p w14:paraId="1AAA8F07">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4、中标人中标通知书。</w:t>
      </w:r>
    </w:p>
    <w:p w14:paraId="2B192025">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5、合同标的物配置清单。</w:t>
      </w:r>
    </w:p>
    <w:p w14:paraId="5B9BAE7E">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6、乙方确认函。</w:t>
      </w:r>
    </w:p>
    <w:p w14:paraId="1A4391C6">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 xml:space="preserve">甲方（采购人）名称：                </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乙方(供应商)名称</w:t>
      </w:r>
      <w:r>
        <w:rPr>
          <w:rFonts w:hint="eastAsia" w:ascii="宋体" w:hAnsi="宋体" w:cs="宋体"/>
          <w:b/>
          <w:color w:val="auto"/>
          <w:sz w:val="24"/>
          <w:szCs w:val="24"/>
          <w:highlight w:val="none"/>
          <w:lang w:eastAsia="zh-CN"/>
        </w:rPr>
        <w:t>：</w:t>
      </w:r>
    </w:p>
    <w:p w14:paraId="0BAA5BF9">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 xml:space="preserve">红河州第二人民医院                </w:t>
      </w:r>
    </w:p>
    <w:p w14:paraId="066B3097">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 xml:space="preserve">地址：建水县泽园路28号             </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地址</w:t>
      </w:r>
      <w:r>
        <w:rPr>
          <w:rFonts w:hint="eastAsia" w:ascii="宋体" w:hAnsi="宋体" w:cs="宋体"/>
          <w:b/>
          <w:color w:val="auto"/>
          <w:sz w:val="24"/>
          <w:szCs w:val="24"/>
          <w:highlight w:val="none"/>
          <w:lang w:eastAsia="zh-CN"/>
        </w:rPr>
        <w:t>：</w:t>
      </w:r>
    </w:p>
    <w:p w14:paraId="2D5A1230">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 xml:space="preserve">电话：0873-7619172                  </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电话</w:t>
      </w:r>
      <w:r>
        <w:rPr>
          <w:rFonts w:hint="eastAsia" w:ascii="宋体" w:hAnsi="宋体" w:cs="宋体"/>
          <w:b/>
          <w:color w:val="auto"/>
          <w:sz w:val="24"/>
          <w:szCs w:val="24"/>
          <w:highlight w:val="none"/>
          <w:lang w:eastAsia="zh-CN"/>
        </w:rPr>
        <w:t>：</w:t>
      </w:r>
    </w:p>
    <w:p w14:paraId="3323B688">
      <w:pPr>
        <w:keepNext w:val="0"/>
        <w:keepLines w:val="0"/>
        <w:pageBreakBefore w:val="0"/>
        <w:widowControl/>
        <w:kinsoku/>
        <w:wordWrap/>
        <w:overflowPunct/>
        <w:topLinePunct w:val="0"/>
        <w:autoSpaceDE/>
        <w:autoSpaceDN/>
        <w:bidi w:val="0"/>
        <w:adjustRightInd/>
        <w:snapToGrid/>
        <w:spacing w:line="520" w:lineRule="exact"/>
        <w:ind w:left="964" w:hanging="964" w:hangingChars="400"/>
        <w:jc w:val="left"/>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甲方法人代表</w:t>
      </w:r>
      <w:r>
        <w:rPr>
          <w:rFonts w:hint="eastAsia" w:ascii="宋体" w:hAnsi="宋体" w:cs="宋体"/>
          <w:b/>
          <w:color w:val="auto"/>
          <w:sz w:val="24"/>
          <w:szCs w:val="24"/>
          <w:highlight w:val="none"/>
          <w:lang w:eastAsia="zh-CN"/>
        </w:rPr>
        <w:t>：</w:t>
      </w:r>
      <w:r>
        <w:rPr>
          <w:rFonts w:hint="eastAsia" w:ascii="宋体" w:hAnsi="宋体" w:eastAsia="宋体" w:cs="宋体"/>
          <w:b/>
          <w:color w:val="auto"/>
          <w:sz w:val="24"/>
          <w:szCs w:val="24"/>
          <w:highlight w:val="none"/>
        </w:rPr>
        <w:t xml:space="preserve">                       </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开户行</w:t>
      </w:r>
      <w:r>
        <w:rPr>
          <w:rFonts w:hint="eastAsia" w:ascii="宋体" w:hAnsi="宋体" w:cs="宋体"/>
          <w:b/>
          <w:color w:val="auto"/>
          <w:sz w:val="24"/>
          <w:szCs w:val="24"/>
          <w:highlight w:val="none"/>
          <w:lang w:eastAsia="zh-CN"/>
        </w:rPr>
        <w:t>：</w:t>
      </w:r>
    </w:p>
    <w:p w14:paraId="3B0D3205">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 xml:space="preserve">甲方授权委托人：                    </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账号</w:t>
      </w:r>
      <w:r>
        <w:rPr>
          <w:rFonts w:hint="eastAsia" w:ascii="宋体" w:hAnsi="宋体" w:cs="宋体"/>
          <w:b/>
          <w:color w:val="auto"/>
          <w:sz w:val="24"/>
          <w:szCs w:val="24"/>
          <w:highlight w:val="none"/>
          <w:lang w:eastAsia="zh-CN"/>
        </w:rPr>
        <w:t>：</w:t>
      </w:r>
    </w:p>
    <w:p w14:paraId="7E82B53A">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甲方经办人                          </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乙方法人代表：</w:t>
      </w:r>
    </w:p>
    <w:p w14:paraId="1FD7D117">
      <w:pPr>
        <w:keepNext w:val="0"/>
        <w:keepLines w:val="0"/>
        <w:pageBreakBefore w:val="0"/>
        <w:widowControl/>
        <w:kinsoku/>
        <w:wordWrap/>
        <w:overflowPunct/>
        <w:topLinePunct w:val="0"/>
        <w:autoSpaceDE/>
        <w:autoSpaceDN/>
        <w:bidi w:val="0"/>
        <w:adjustRightInd/>
        <w:snapToGrid/>
        <w:spacing w:line="520" w:lineRule="exact"/>
        <w:textAlignment w:val="auto"/>
        <w:rPr>
          <w:rFonts w:hint="eastAsia" w:ascii="Times New Roman" w:hAnsi="Times New Roman" w:eastAsia="宋体" w:cs="Times New Roman"/>
          <w:color w:val="auto"/>
          <w:sz w:val="21"/>
          <w:highlight w:val="none"/>
          <w:lang w:val="en-US" w:eastAsia="zh-CN" w:bidi="ar-SA"/>
        </w:rPr>
      </w:pPr>
      <w:r>
        <w:rPr>
          <w:rFonts w:hint="eastAsia" w:ascii="宋体" w:hAnsi="宋体" w:eastAsia="宋体" w:cs="宋体"/>
          <w:b/>
          <w:color w:val="auto"/>
          <w:sz w:val="24"/>
          <w:szCs w:val="24"/>
          <w:highlight w:val="none"/>
        </w:rPr>
        <w:t>日期</w:t>
      </w:r>
      <w:r>
        <w:rPr>
          <w:rFonts w:hint="eastAsia" w:ascii="宋体" w:hAnsi="宋体" w:cs="宋体"/>
          <w:b/>
          <w:color w:val="auto"/>
          <w:sz w:val="24"/>
          <w:szCs w:val="24"/>
          <w:highlight w:val="none"/>
          <w:lang w:eastAsia="zh-CN"/>
        </w:rPr>
        <w:t>：</w:t>
      </w:r>
      <w:r>
        <w:rPr>
          <w:rFonts w:hint="eastAsia" w:ascii="宋体" w:hAnsi="宋体" w:eastAsia="宋体" w:cs="宋体"/>
          <w:b/>
          <w:color w:val="auto"/>
          <w:sz w:val="24"/>
          <w:szCs w:val="24"/>
          <w:highlight w:val="none"/>
        </w:rPr>
        <w:t xml:space="preserve">     年   月   日          </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日期</w:t>
      </w:r>
      <w:r>
        <w:rPr>
          <w:rFonts w:hint="eastAsia" w:ascii="宋体" w:hAnsi="宋体" w:cs="宋体"/>
          <w:b/>
          <w:color w:val="auto"/>
          <w:sz w:val="24"/>
          <w:szCs w:val="24"/>
          <w:highlight w:val="none"/>
          <w:lang w:eastAsia="zh-CN"/>
        </w:rPr>
        <w:t>：</w:t>
      </w:r>
      <w:r>
        <w:rPr>
          <w:rFonts w:hint="eastAsia" w:ascii="宋体" w:hAnsi="宋体" w:eastAsia="宋体" w:cs="宋体"/>
          <w:b/>
          <w:color w:val="auto"/>
          <w:sz w:val="24"/>
          <w:szCs w:val="24"/>
          <w:highlight w:val="none"/>
        </w:rPr>
        <w:t xml:space="preserve">    年    月    日</w:t>
      </w:r>
    </w:p>
    <w:p w14:paraId="6F3CDAC8">
      <w:pPr>
        <w:pStyle w:val="2"/>
        <w:numPr>
          <w:ilvl w:val="0"/>
          <w:numId w:val="2"/>
        </w:numPr>
        <w:spacing w:before="0" w:after="0" w:line="360" w:lineRule="auto"/>
        <w:ind w:left="0" w:leftChars="0" w:firstLine="0" w:firstLineChars="0"/>
        <w:jc w:val="center"/>
        <w:rPr>
          <w:rFonts w:hint="eastAsia" w:ascii="宋体" w:hAnsi="宋体" w:cs="宋体"/>
          <w:i w:val="0"/>
          <w:iCs w:val="0"/>
          <w:color w:val="auto"/>
          <w:highlight w:val="none"/>
          <w:lang w:eastAsia="zh-CN"/>
        </w:rPr>
      </w:pPr>
      <w:r>
        <w:rPr>
          <w:rFonts w:hint="eastAsia" w:ascii="宋体" w:hAnsi="宋体" w:cs="宋体"/>
          <w:i w:val="0"/>
          <w:iCs w:val="0"/>
          <w:color w:val="auto"/>
          <w:highlight w:val="none"/>
        </w:rPr>
        <w:br w:type="page"/>
      </w:r>
      <w:bookmarkStart w:id="244" w:name="_Toc31970"/>
      <w:r>
        <w:rPr>
          <w:rFonts w:hint="eastAsia" w:ascii="宋体" w:hAnsi="宋体" w:cs="宋体"/>
          <w:i w:val="0"/>
          <w:iCs w:val="0"/>
          <w:color w:val="auto"/>
          <w:highlight w:val="none"/>
          <w:lang w:eastAsia="zh-CN"/>
        </w:rPr>
        <w:t>采购内容及要求</w:t>
      </w:r>
      <w:bookmarkEnd w:id="244"/>
    </w:p>
    <w:p w14:paraId="00D7D9FA">
      <w:pPr>
        <w:jc w:val="center"/>
        <w:rPr>
          <w:rFonts w:hint="default"/>
          <w:b/>
          <w:bCs/>
          <w:sz w:val="28"/>
          <w:szCs w:val="28"/>
          <w:lang w:val="en-US" w:eastAsia="zh-CN"/>
        </w:rPr>
      </w:pPr>
      <w:r>
        <w:rPr>
          <w:rFonts w:hint="eastAsia"/>
          <w:b/>
          <w:bCs/>
          <w:sz w:val="28"/>
          <w:szCs w:val="28"/>
          <w:lang w:val="en-US" w:eastAsia="zh-CN"/>
        </w:rPr>
        <w:t>内镜中心设备配置要求清单</w:t>
      </w:r>
    </w:p>
    <w:tbl>
      <w:tblPr>
        <w:tblStyle w:val="48"/>
        <w:tblW w:w="491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3950"/>
        <w:gridCol w:w="2117"/>
        <w:gridCol w:w="1075"/>
        <w:gridCol w:w="1222"/>
      </w:tblGrid>
      <w:tr w14:paraId="2C84C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530" w:type="pct"/>
            <w:noWrap w:val="0"/>
            <w:vAlign w:val="center"/>
          </w:tcPr>
          <w:p w14:paraId="72A37054">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bCs/>
                <w:caps w:val="0"/>
                <w:smallCaps w:val="0"/>
                <w:color w:val="auto"/>
                <w:kern w:val="2"/>
                <w:sz w:val="21"/>
                <w:szCs w:val="21"/>
                <w:highlight w:val="none"/>
                <w:lang w:bidi="ar"/>
              </w:rPr>
            </w:pPr>
            <w:r>
              <w:rPr>
                <w:rFonts w:hint="eastAsia" w:ascii="宋体" w:hAnsi="宋体" w:eastAsia="宋体" w:cs="宋体"/>
                <w:b/>
                <w:bCs/>
                <w:caps w:val="0"/>
                <w:smallCaps w:val="0"/>
                <w:color w:val="auto"/>
                <w:kern w:val="2"/>
                <w:sz w:val="21"/>
                <w:szCs w:val="21"/>
                <w:highlight w:val="none"/>
                <w:lang w:bidi="ar"/>
              </w:rPr>
              <w:t>序号</w:t>
            </w:r>
          </w:p>
        </w:tc>
        <w:tc>
          <w:tcPr>
            <w:tcW w:w="2110" w:type="pct"/>
            <w:noWrap w:val="0"/>
            <w:vAlign w:val="center"/>
          </w:tcPr>
          <w:p w14:paraId="74EEB79D">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bCs/>
                <w:caps w:val="0"/>
                <w:smallCaps w:val="0"/>
                <w:color w:val="auto"/>
                <w:kern w:val="2"/>
                <w:sz w:val="21"/>
                <w:szCs w:val="21"/>
                <w:highlight w:val="none"/>
                <w:lang w:bidi="ar"/>
              </w:rPr>
            </w:pPr>
            <w:r>
              <w:rPr>
                <w:rFonts w:hint="eastAsia" w:ascii="宋体" w:hAnsi="宋体" w:eastAsia="宋体" w:cs="宋体"/>
                <w:b/>
                <w:bCs/>
                <w:caps w:val="0"/>
                <w:smallCaps w:val="0"/>
                <w:color w:val="auto"/>
                <w:kern w:val="2"/>
                <w:sz w:val="21"/>
                <w:szCs w:val="21"/>
                <w:highlight w:val="none"/>
                <w:lang w:bidi="ar"/>
              </w:rPr>
              <w:t>设备名称</w:t>
            </w:r>
          </w:p>
        </w:tc>
        <w:tc>
          <w:tcPr>
            <w:tcW w:w="1131" w:type="pct"/>
            <w:noWrap w:val="0"/>
            <w:vAlign w:val="center"/>
          </w:tcPr>
          <w:p w14:paraId="09BC4679">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bCs/>
                <w:caps w:val="0"/>
                <w:smallCaps w:val="0"/>
                <w:color w:val="auto"/>
                <w:kern w:val="2"/>
                <w:sz w:val="21"/>
                <w:szCs w:val="21"/>
                <w:highlight w:val="none"/>
                <w:lang w:bidi="ar"/>
              </w:rPr>
            </w:pPr>
            <w:r>
              <w:rPr>
                <w:rFonts w:hint="eastAsia" w:ascii="宋体" w:hAnsi="宋体" w:eastAsia="宋体" w:cs="宋体"/>
                <w:b/>
                <w:bCs/>
                <w:caps w:val="0"/>
                <w:smallCaps w:val="0"/>
                <w:color w:val="auto"/>
                <w:kern w:val="2"/>
                <w:sz w:val="21"/>
                <w:szCs w:val="21"/>
                <w:highlight w:val="none"/>
                <w:lang w:bidi="ar"/>
              </w:rPr>
              <w:t>是否允许进口</w:t>
            </w:r>
          </w:p>
        </w:tc>
        <w:tc>
          <w:tcPr>
            <w:tcW w:w="574" w:type="pct"/>
            <w:noWrap w:val="0"/>
            <w:vAlign w:val="center"/>
          </w:tcPr>
          <w:p w14:paraId="12FEDCBF">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bCs/>
                <w:caps w:val="0"/>
                <w:smallCaps w:val="0"/>
                <w:color w:val="auto"/>
                <w:kern w:val="2"/>
                <w:sz w:val="21"/>
                <w:szCs w:val="21"/>
                <w:highlight w:val="none"/>
                <w:lang w:bidi="ar"/>
              </w:rPr>
            </w:pPr>
            <w:r>
              <w:rPr>
                <w:rFonts w:hint="eastAsia" w:ascii="宋体" w:hAnsi="宋体" w:eastAsia="宋体" w:cs="宋体"/>
                <w:b/>
                <w:bCs/>
                <w:caps w:val="0"/>
                <w:smallCaps w:val="0"/>
                <w:color w:val="auto"/>
                <w:kern w:val="2"/>
                <w:sz w:val="21"/>
                <w:szCs w:val="21"/>
                <w:highlight w:val="none"/>
                <w:lang w:bidi="ar"/>
              </w:rPr>
              <w:t>数量</w:t>
            </w:r>
          </w:p>
        </w:tc>
        <w:tc>
          <w:tcPr>
            <w:tcW w:w="653" w:type="pct"/>
            <w:noWrap w:val="0"/>
            <w:vAlign w:val="center"/>
          </w:tcPr>
          <w:p w14:paraId="5A1EE7E5">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bCs/>
                <w:caps w:val="0"/>
                <w:smallCaps w:val="0"/>
                <w:color w:val="auto"/>
                <w:kern w:val="2"/>
                <w:sz w:val="21"/>
                <w:szCs w:val="21"/>
                <w:highlight w:val="none"/>
                <w:lang w:bidi="ar"/>
              </w:rPr>
            </w:pPr>
            <w:r>
              <w:rPr>
                <w:rFonts w:hint="eastAsia" w:ascii="宋体" w:hAnsi="宋体" w:eastAsia="宋体" w:cs="宋体"/>
                <w:b/>
                <w:bCs/>
                <w:caps w:val="0"/>
                <w:smallCaps w:val="0"/>
                <w:color w:val="auto"/>
                <w:kern w:val="2"/>
                <w:sz w:val="21"/>
                <w:szCs w:val="21"/>
                <w:highlight w:val="none"/>
                <w:lang w:bidi="ar"/>
              </w:rPr>
              <w:t>单位</w:t>
            </w:r>
          </w:p>
        </w:tc>
      </w:tr>
      <w:tr w14:paraId="673F7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530" w:type="pct"/>
            <w:noWrap w:val="0"/>
            <w:vAlign w:val="center"/>
          </w:tcPr>
          <w:p w14:paraId="7261671B">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bidi="ar"/>
              </w:rPr>
            </w:pPr>
            <w:r>
              <w:rPr>
                <w:rFonts w:hint="eastAsia" w:ascii="宋体" w:hAnsi="宋体" w:eastAsia="宋体" w:cs="宋体"/>
                <w:b w:val="0"/>
                <w:bCs w:val="0"/>
                <w:caps w:val="0"/>
                <w:smallCaps w:val="0"/>
                <w:color w:val="auto"/>
                <w:kern w:val="2"/>
                <w:sz w:val="21"/>
                <w:szCs w:val="21"/>
                <w:highlight w:val="none"/>
                <w:lang w:val="en-US" w:eastAsia="zh-CN" w:bidi="ar"/>
              </w:rPr>
              <w:t>1</w:t>
            </w:r>
          </w:p>
        </w:tc>
        <w:tc>
          <w:tcPr>
            <w:tcW w:w="2110" w:type="pct"/>
            <w:noWrap w:val="0"/>
            <w:vAlign w:val="center"/>
          </w:tcPr>
          <w:p w14:paraId="0F5A09F2">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全自动软式内镜清洗消毒器</w:t>
            </w:r>
          </w:p>
        </w:tc>
        <w:tc>
          <w:tcPr>
            <w:tcW w:w="1131" w:type="pct"/>
            <w:noWrap w:val="0"/>
            <w:vAlign w:val="center"/>
          </w:tcPr>
          <w:p w14:paraId="6B391332">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bidi="ar"/>
              </w:rPr>
              <w:t>否</w:t>
            </w:r>
          </w:p>
        </w:tc>
        <w:tc>
          <w:tcPr>
            <w:tcW w:w="574" w:type="pct"/>
            <w:noWrap w:val="0"/>
            <w:vAlign w:val="center"/>
          </w:tcPr>
          <w:p w14:paraId="420F3CB2">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2</w:t>
            </w:r>
          </w:p>
        </w:tc>
        <w:tc>
          <w:tcPr>
            <w:tcW w:w="653" w:type="pct"/>
            <w:noWrap w:val="0"/>
            <w:vAlign w:val="center"/>
          </w:tcPr>
          <w:p w14:paraId="2E9328BD">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台</w:t>
            </w:r>
          </w:p>
        </w:tc>
      </w:tr>
      <w:tr w14:paraId="47B37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530" w:type="pct"/>
            <w:noWrap w:val="0"/>
            <w:vAlign w:val="center"/>
          </w:tcPr>
          <w:p w14:paraId="117CA71F">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2</w:t>
            </w:r>
          </w:p>
        </w:tc>
        <w:tc>
          <w:tcPr>
            <w:tcW w:w="2110" w:type="pct"/>
            <w:noWrap w:val="0"/>
            <w:vAlign w:val="center"/>
          </w:tcPr>
          <w:p w14:paraId="6CE78FCC">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内镜清洗工作站</w:t>
            </w:r>
          </w:p>
        </w:tc>
        <w:tc>
          <w:tcPr>
            <w:tcW w:w="1131" w:type="pct"/>
            <w:noWrap w:val="0"/>
            <w:vAlign w:val="center"/>
          </w:tcPr>
          <w:p w14:paraId="2511E614">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bidi="ar"/>
              </w:rPr>
            </w:pPr>
            <w:r>
              <w:rPr>
                <w:rFonts w:hint="eastAsia" w:ascii="宋体" w:hAnsi="宋体" w:eastAsia="宋体" w:cs="宋体"/>
                <w:b w:val="0"/>
                <w:bCs w:val="0"/>
                <w:caps w:val="0"/>
                <w:smallCaps w:val="0"/>
                <w:color w:val="auto"/>
                <w:kern w:val="2"/>
                <w:sz w:val="21"/>
                <w:szCs w:val="21"/>
                <w:highlight w:val="none"/>
                <w:lang w:bidi="ar"/>
              </w:rPr>
              <w:t>否</w:t>
            </w:r>
          </w:p>
        </w:tc>
        <w:tc>
          <w:tcPr>
            <w:tcW w:w="574" w:type="pct"/>
            <w:noWrap w:val="0"/>
            <w:vAlign w:val="center"/>
          </w:tcPr>
          <w:p w14:paraId="313365D8">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2</w:t>
            </w:r>
          </w:p>
        </w:tc>
        <w:tc>
          <w:tcPr>
            <w:tcW w:w="653" w:type="pct"/>
            <w:noWrap w:val="0"/>
            <w:vAlign w:val="center"/>
          </w:tcPr>
          <w:p w14:paraId="5887CBF3">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台</w:t>
            </w:r>
          </w:p>
        </w:tc>
      </w:tr>
      <w:tr w14:paraId="14AA5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530" w:type="pct"/>
            <w:noWrap w:val="0"/>
            <w:vAlign w:val="center"/>
          </w:tcPr>
          <w:p w14:paraId="7BDADFF1">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3</w:t>
            </w:r>
          </w:p>
        </w:tc>
        <w:tc>
          <w:tcPr>
            <w:tcW w:w="2110" w:type="pct"/>
            <w:noWrap w:val="0"/>
            <w:vAlign w:val="center"/>
          </w:tcPr>
          <w:p w14:paraId="3D9D2E1E">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内镜追溯管理系统</w:t>
            </w:r>
          </w:p>
        </w:tc>
        <w:tc>
          <w:tcPr>
            <w:tcW w:w="1131" w:type="pct"/>
            <w:noWrap w:val="0"/>
            <w:vAlign w:val="center"/>
          </w:tcPr>
          <w:p w14:paraId="5243EEE8">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bidi="ar"/>
              </w:rPr>
            </w:pPr>
            <w:r>
              <w:rPr>
                <w:rFonts w:hint="eastAsia" w:ascii="宋体" w:hAnsi="宋体" w:eastAsia="宋体" w:cs="宋体"/>
                <w:b w:val="0"/>
                <w:bCs w:val="0"/>
                <w:caps w:val="0"/>
                <w:smallCaps w:val="0"/>
                <w:color w:val="auto"/>
                <w:kern w:val="2"/>
                <w:sz w:val="21"/>
                <w:szCs w:val="21"/>
                <w:highlight w:val="none"/>
                <w:lang w:bidi="ar"/>
              </w:rPr>
              <w:t>否</w:t>
            </w:r>
          </w:p>
        </w:tc>
        <w:tc>
          <w:tcPr>
            <w:tcW w:w="574" w:type="pct"/>
            <w:noWrap w:val="0"/>
            <w:vAlign w:val="center"/>
          </w:tcPr>
          <w:p w14:paraId="74EBDB2E">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1</w:t>
            </w:r>
          </w:p>
        </w:tc>
        <w:tc>
          <w:tcPr>
            <w:tcW w:w="653" w:type="pct"/>
            <w:noWrap w:val="0"/>
            <w:vAlign w:val="center"/>
          </w:tcPr>
          <w:p w14:paraId="2FD7A6DD">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套</w:t>
            </w:r>
          </w:p>
        </w:tc>
      </w:tr>
      <w:tr w14:paraId="5C374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530" w:type="pct"/>
            <w:noWrap w:val="0"/>
            <w:vAlign w:val="center"/>
          </w:tcPr>
          <w:p w14:paraId="1D5E5E08">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4</w:t>
            </w:r>
          </w:p>
        </w:tc>
        <w:tc>
          <w:tcPr>
            <w:tcW w:w="2110" w:type="pct"/>
            <w:noWrap w:val="0"/>
            <w:vAlign w:val="center"/>
          </w:tcPr>
          <w:p w14:paraId="42950B62">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全自动内镜纯水机</w:t>
            </w:r>
          </w:p>
        </w:tc>
        <w:tc>
          <w:tcPr>
            <w:tcW w:w="1131" w:type="pct"/>
            <w:noWrap w:val="0"/>
            <w:vAlign w:val="center"/>
          </w:tcPr>
          <w:p w14:paraId="64343A55">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bidi="ar"/>
              </w:rPr>
            </w:pPr>
            <w:r>
              <w:rPr>
                <w:rFonts w:hint="eastAsia" w:ascii="宋体" w:hAnsi="宋体" w:eastAsia="宋体" w:cs="宋体"/>
                <w:b w:val="0"/>
                <w:bCs w:val="0"/>
                <w:caps w:val="0"/>
                <w:smallCaps w:val="0"/>
                <w:color w:val="auto"/>
                <w:kern w:val="2"/>
                <w:sz w:val="21"/>
                <w:szCs w:val="21"/>
                <w:highlight w:val="none"/>
                <w:lang w:bidi="ar"/>
              </w:rPr>
              <w:t>否</w:t>
            </w:r>
          </w:p>
        </w:tc>
        <w:tc>
          <w:tcPr>
            <w:tcW w:w="574" w:type="pct"/>
            <w:noWrap w:val="0"/>
            <w:vAlign w:val="center"/>
          </w:tcPr>
          <w:p w14:paraId="3A48235B">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1</w:t>
            </w:r>
          </w:p>
        </w:tc>
        <w:tc>
          <w:tcPr>
            <w:tcW w:w="653" w:type="pct"/>
            <w:noWrap w:val="0"/>
            <w:vAlign w:val="center"/>
          </w:tcPr>
          <w:p w14:paraId="22CA1625">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台</w:t>
            </w:r>
          </w:p>
        </w:tc>
      </w:tr>
      <w:tr w14:paraId="64A6D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530" w:type="pct"/>
            <w:noWrap w:val="0"/>
            <w:vAlign w:val="center"/>
          </w:tcPr>
          <w:p w14:paraId="1E8DC7FF">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5</w:t>
            </w:r>
          </w:p>
        </w:tc>
        <w:tc>
          <w:tcPr>
            <w:tcW w:w="2110" w:type="pct"/>
            <w:noWrap w:val="0"/>
            <w:vAlign w:val="center"/>
          </w:tcPr>
          <w:p w14:paraId="6C01BA18">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内镜储存柜</w:t>
            </w:r>
          </w:p>
        </w:tc>
        <w:tc>
          <w:tcPr>
            <w:tcW w:w="1131" w:type="pct"/>
            <w:noWrap w:val="0"/>
            <w:vAlign w:val="center"/>
          </w:tcPr>
          <w:p w14:paraId="450B6B96">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bidi="ar"/>
              </w:rPr>
            </w:pPr>
            <w:r>
              <w:rPr>
                <w:rFonts w:hint="eastAsia" w:ascii="宋体" w:hAnsi="宋体" w:eastAsia="宋体" w:cs="宋体"/>
                <w:b w:val="0"/>
                <w:bCs w:val="0"/>
                <w:caps w:val="0"/>
                <w:smallCaps w:val="0"/>
                <w:color w:val="auto"/>
                <w:kern w:val="2"/>
                <w:sz w:val="21"/>
                <w:szCs w:val="21"/>
                <w:highlight w:val="none"/>
                <w:lang w:bidi="ar"/>
              </w:rPr>
              <w:t>否</w:t>
            </w:r>
          </w:p>
        </w:tc>
        <w:tc>
          <w:tcPr>
            <w:tcW w:w="574" w:type="pct"/>
            <w:noWrap w:val="0"/>
            <w:vAlign w:val="center"/>
          </w:tcPr>
          <w:p w14:paraId="2823A8E4">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1</w:t>
            </w:r>
          </w:p>
        </w:tc>
        <w:tc>
          <w:tcPr>
            <w:tcW w:w="653" w:type="pct"/>
            <w:noWrap w:val="0"/>
            <w:vAlign w:val="center"/>
          </w:tcPr>
          <w:p w14:paraId="1BFD40CD">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台</w:t>
            </w:r>
          </w:p>
        </w:tc>
      </w:tr>
      <w:tr w14:paraId="7E702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530" w:type="pct"/>
            <w:noWrap w:val="0"/>
            <w:vAlign w:val="center"/>
          </w:tcPr>
          <w:p w14:paraId="4EBCACD1">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6</w:t>
            </w:r>
          </w:p>
        </w:tc>
        <w:tc>
          <w:tcPr>
            <w:tcW w:w="2110" w:type="pct"/>
            <w:noWrap w:val="0"/>
            <w:vAlign w:val="center"/>
          </w:tcPr>
          <w:p w14:paraId="729013BB">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医用等离子体空气消毒器</w:t>
            </w:r>
          </w:p>
        </w:tc>
        <w:tc>
          <w:tcPr>
            <w:tcW w:w="1131" w:type="pct"/>
            <w:noWrap w:val="0"/>
            <w:vAlign w:val="center"/>
          </w:tcPr>
          <w:p w14:paraId="1307097B">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bidi="ar"/>
              </w:rPr>
            </w:pPr>
            <w:r>
              <w:rPr>
                <w:rFonts w:hint="eastAsia" w:ascii="宋体" w:hAnsi="宋体" w:eastAsia="宋体" w:cs="宋体"/>
                <w:b w:val="0"/>
                <w:bCs w:val="0"/>
                <w:caps w:val="0"/>
                <w:smallCaps w:val="0"/>
                <w:color w:val="auto"/>
                <w:kern w:val="2"/>
                <w:sz w:val="21"/>
                <w:szCs w:val="21"/>
                <w:highlight w:val="none"/>
                <w:lang w:bidi="ar"/>
              </w:rPr>
              <w:t>否</w:t>
            </w:r>
          </w:p>
        </w:tc>
        <w:tc>
          <w:tcPr>
            <w:tcW w:w="574" w:type="pct"/>
            <w:noWrap w:val="0"/>
            <w:vAlign w:val="center"/>
          </w:tcPr>
          <w:p w14:paraId="4C3D8FAC">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3</w:t>
            </w:r>
          </w:p>
        </w:tc>
        <w:tc>
          <w:tcPr>
            <w:tcW w:w="653" w:type="pct"/>
            <w:noWrap w:val="0"/>
            <w:vAlign w:val="center"/>
          </w:tcPr>
          <w:p w14:paraId="62F17176">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台</w:t>
            </w:r>
          </w:p>
        </w:tc>
      </w:tr>
      <w:tr w14:paraId="13AF1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530" w:type="pct"/>
            <w:noWrap w:val="0"/>
            <w:vAlign w:val="center"/>
          </w:tcPr>
          <w:p w14:paraId="60BD55F6">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7</w:t>
            </w:r>
          </w:p>
        </w:tc>
        <w:tc>
          <w:tcPr>
            <w:tcW w:w="2110" w:type="pct"/>
            <w:noWrap w:val="0"/>
            <w:vAlign w:val="center"/>
          </w:tcPr>
          <w:p w14:paraId="5703B72F">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医用吊塔</w:t>
            </w:r>
          </w:p>
        </w:tc>
        <w:tc>
          <w:tcPr>
            <w:tcW w:w="1131" w:type="pct"/>
            <w:noWrap w:val="0"/>
            <w:vAlign w:val="center"/>
          </w:tcPr>
          <w:p w14:paraId="266EB31C">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bidi="ar"/>
              </w:rPr>
            </w:pPr>
            <w:r>
              <w:rPr>
                <w:rFonts w:hint="eastAsia" w:ascii="宋体" w:hAnsi="宋体" w:eastAsia="宋体" w:cs="宋体"/>
                <w:b w:val="0"/>
                <w:bCs w:val="0"/>
                <w:caps w:val="0"/>
                <w:smallCaps w:val="0"/>
                <w:color w:val="auto"/>
                <w:kern w:val="2"/>
                <w:sz w:val="21"/>
                <w:szCs w:val="21"/>
                <w:highlight w:val="none"/>
                <w:lang w:bidi="ar"/>
              </w:rPr>
              <w:t>否</w:t>
            </w:r>
          </w:p>
        </w:tc>
        <w:tc>
          <w:tcPr>
            <w:tcW w:w="574" w:type="pct"/>
            <w:noWrap w:val="0"/>
            <w:vAlign w:val="center"/>
          </w:tcPr>
          <w:p w14:paraId="161C76F2">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3</w:t>
            </w:r>
          </w:p>
        </w:tc>
        <w:tc>
          <w:tcPr>
            <w:tcW w:w="653" w:type="pct"/>
            <w:noWrap w:val="0"/>
            <w:vAlign w:val="center"/>
          </w:tcPr>
          <w:p w14:paraId="5498AF67">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台</w:t>
            </w:r>
          </w:p>
        </w:tc>
      </w:tr>
    </w:tbl>
    <w:p w14:paraId="7B4A6BCC">
      <w:pPr>
        <w:rPr>
          <w:rFonts w:hint="eastAsia"/>
          <w:lang w:eastAsia="zh-CN"/>
        </w:rPr>
      </w:pPr>
    </w:p>
    <w:p w14:paraId="25B8317E">
      <w:pPr>
        <w:jc w:val="center"/>
        <w:rPr>
          <w:rFonts w:hint="eastAsia"/>
          <w:b/>
          <w:bCs/>
          <w:sz w:val="28"/>
          <w:szCs w:val="28"/>
          <w:lang w:val="en-US" w:eastAsia="zh-CN"/>
        </w:rPr>
      </w:pPr>
      <w:bookmarkStart w:id="245" w:name="_Toc24075"/>
      <w:r>
        <w:rPr>
          <w:rFonts w:hint="eastAsia"/>
          <w:b/>
          <w:bCs/>
          <w:sz w:val="28"/>
          <w:szCs w:val="28"/>
          <w:lang w:val="en-US" w:eastAsia="zh-CN"/>
        </w:rPr>
        <w:t>一、全自动软式内镜清洗消毒器技术参数</w:t>
      </w:r>
    </w:p>
    <w:p w14:paraId="0C4200B6">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用途：处理软式内镜过程包括内镜检漏、测堵、清洗、酶洗、漂洗、消毒、终末漂洗、酒精干燥和空气干燥，达到内镜清洗和消毒/灭菌目的；</w:t>
      </w:r>
    </w:p>
    <w:p w14:paraId="6C667ED8">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储存箱容量：消毒剂储存箱容量：≥12L、适酶储存箱容量：≥2.5L、酒精储存箱容量≥1L；</w:t>
      </w:r>
    </w:p>
    <w:p w14:paraId="62F9D071">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水过滤器：设置≥3级水过滤器，过滤精度分别为≤1.0μm、≤0.45μm和≤0.2μm；</w:t>
      </w:r>
    </w:p>
    <w:p w14:paraId="4C4622E0">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每次处理镜子数量：≥1条软式内镜；</w:t>
      </w:r>
    </w:p>
    <w:p w14:paraId="1ED6B89A">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全程清洗消毒时间：戊二醛:20-23分钟、邻苯二甲醛:15-18分钟、过氧乙酸:15-18分钟；</w:t>
      </w:r>
    </w:p>
    <w:p w14:paraId="492AD6AF">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▲测漏功能：全程适时内镜测漏监控装置；若内镜存在微小泄露，设备持续提供正压，程序结束后提示；若内镜存在大泄露，在接触液体前强制退出并报警；</w:t>
      </w:r>
    </w:p>
    <w:p w14:paraId="3B5ECC66">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▲干测漏功能：程序启动，内镜与洗消槽液体接触前进行≥60秒测漏，内镜有较大破损时，程序结束，防止水进入；</w:t>
      </w:r>
    </w:p>
    <w:p w14:paraId="0FF0218D">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▲持续测漏：轻微泄漏，程序继续运行，内镜处于加压状态，防止水进入,触摸屏提示，洗消程序完成后进行维修；</w:t>
      </w:r>
    </w:p>
    <w:p w14:paraId="1D12D6D3">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消耗水量：每清洗消毒循环水耗量25-40L；</w:t>
      </w:r>
    </w:p>
    <w:p w14:paraId="7F7F9F68">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▲自身消毒功能：不仅能够对设备全管道、槽体进行消毒而且能够对终末漂洗水过滤器反向消毒；</w:t>
      </w:r>
    </w:p>
    <w:p w14:paraId="4EF64099">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加强消毒功能：延长消毒时间，可用于阳性传染病人检查后的内镜，强化消毒效果；</w:t>
      </w:r>
    </w:p>
    <w:p w14:paraId="15376DD2">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▲内管腔增压泵压力监测：通过可视化窗口，可直观的检测内管腔增压泵压力状况，确保内镜清洗消毒合格；</w:t>
      </w:r>
    </w:p>
    <w:p w14:paraId="05F1A06B">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▲双级旋转喷淋清洗：设有底部和顶部两级旋转喷淋装置，消除槽内清洗死角；</w:t>
      </w:r>
    </w:p>
    <w:p w14:paraId="70B94C45">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消毒剂加热：可对消毒剂自动加热并显示加热温度，提高消毒效果和效率；独立消毒剂加热控制系统；</w:t>
      </w:r>
    </w:p>
    <w:p w14:paraId="454C2695">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消毒剂自动取样功能：通过独立的消毒液取样泵控制，可实现消毒液的自动取样，以降低消毒液对操作人员的危害；提供消毒液取样功能证明材料；</w:t>
      </w:r>
    </w:p>
    <w:p w14:paraId="538CBC0B">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消毒剂添加排放：设备自动对消毒液进行添加和排放；</w:t>
      </w:r>
    </w:p>
    <w:p w14:paraId="6746CEB5">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全封闭消毒：洗消槽采用电动推杆压紧密封胶条的全封闭结构，消毒剂气味不向外泄露，最大限度保护操作人员健康；</w:t>
      </w:r>
    </w:p>
    <w:p w14:paraId="542B030C">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无菌水漂洗：内置≤</w:t>
      </w:r>
      <w:r>
        <w:rPr>
          <w:rFonts w:hint="default" w:ascii="宋体" w:hAnsi="宋体" w:eastAsia="宋体" w:cs="宋体"/>
          <w:kern w:val="0"/>
          <w:sz w:val="21"/>
          <w:szCs w:val="21"/>
          <w:lang w:val="en-US" w:eastAsia="zh-CN" w:bidi="ar-SA"/>
        </w:rPr>
        <w:t>0.2</w:t>
      </w:r>
      <w:r>
        <w:rPr>
          <w:rFonts w:hint="eastAsia" w:ascii="宋体" w:hAnsi="宋体" w:eastAsia="宋体" w:cs="宋体"/>
          <w:kern w:val="0"/>
          <w:sz w:val="21"/>
          <w:szCs w:val="21"/>
          <w:lang w:val="en-US" w:eastAsia="zh-CN" w:bidi="ar-SA"/>
        </w:rPr>
        <w:t>μ</w:t>
      </w:r>
      <w:r>
        <w:rPr>
          <w:rFonts w:hint="default" w:ascii="宋体" w:hAnsi="宋体" w:eastAsia="宋体" w:cs="宋体"/>
          <w:kern w:val="0"/>
          <w:sz w:val="21"/>
          <w:szCs w:val="21"/>
          <w:lang w:val="en-US" w:eastAsia="zh-CN" w:bidi="ar-SA"/>
        </w:rPr>
        <w:t>m</w:t>
      </w:r>
      <w:r>
        <w:rPr>
          <w:rFonts w:hint="eastAsia" w:ascii="宋体" w:hAnsi="宋体" w:eastAsia="宋体" w:cs="宋体"/>
          <w:kern w:val="0"/>
          <w:sz w:val="21"/>
          <w:szCs w:val="21"/>
          <w:lang w:val="en-US" w:eastAsia="zh-CN" w:bidi="ar-SA"/>
        </w:rPr>
        <w:t>无菌水过滤器；消毒后使用≤0.2μm过滤器过滤的无菌水漂洗，避免不干净的漂洗水再次污染消毒好的内镜。</w:t>
      </w:r>
    </w:p>
    <w:p w14:paraId="3F42C803">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过程数据打印：打印每一条内镜清洗消毒的过程数据：操作员编号、程序名称、洗消日期、洗消时间、阶段名称、阶段时间，并提供打印样品扫描件；</w:t>
      </w:r>
    </w:p>
    <w:p w14:paraId="54567449">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中文触摸屏显示：采用≥5英寸彩色触摸屏显示；显示屏显示运行过程的程序名称、洗消日期、运行阶段名称和阶段计时并提供运行界面实物照片；</w:t>
      </w:r>
    </w:p>
    <w:p w14:paraId="2CEB8AB0">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▲智能灯带控制功能：不同指示灯颜色显示程序不同运行状态，方便操作人员观察；</w:t>
      </w:r>
    </w:p>
    <w:p w14:paraId="7717FE7F">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运行倒计时功能：精确的设备倒计时功能，便于观测程序剩余时间，方便操作人员协调内镜洗消工作；</w:t>
      </w:r>
    </w:p>
    <w:p w14:paraId="3BBE7175">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自动门、脚踏开门：自动门，可脚踢开门；避免手动开门后，拿取消毒完毕的内镜时产生二次感染；</w:t>
      </w:r>
    </w:p>
    <w:p w14:paraId="2AAF7F14">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玻璃门：采用钢化玻璃门，可以清晰观察镜子的清洗消毒情况；</w:t>
      </w:r>
    </w:p>
    <w:p w14:paraId="1508D438">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防夹手功能：采用防夹手门胶条，关门过程中若受到障碍，门自动弹起并报警提示</w:t>
      </w:r>
    </w:p>
    <w:p w14:paraId="252B8C23">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▲消毒效果检测报告：提供第三方权威机构出具的产品与使用循环型消毒剂（戊二醛、邻苯二甲醛、过氧乙酸）的消毒效果检测报告；</w:t>
      </w:r>
    </w:p>
    <w:p w14:paraId="3066F506">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产品需在全国消毒产品网上备案信息服务平台备案，并提供备案截图。</w:t>
      </w:r>
    </w:p>
    <w:p w14:paraId="3452F68F">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其他配置：双层内镜转运车4张。</w:t>
      </w:r>
    </w:p>
    <w:p w14:paraId="414532B1">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质保5年。</w:t>
      </w:r>
    </w:p>
    <w:p w14:paraId="0BA7C53C">
      <w:pPr>
        <w:rPr>
          <w:rFonts w:hint="default" w:ascii="宋体" w:hAnsi="宋体" w:eastAsia="宋体" w:cs="宋体"/>
          <w:kern w:val="0"/>
          <w:sz w:val="21"/>
          <w:szCs w:val="21"/>
          <w:lang w:val="en-US" w:eastAsia="zh-CN" w:bidi="ar-SA"/>
        </w:rPr>
      </w:pPr>
    </w:p>
    <w:p w14:paraId="3B942337">
      <w:pPr>
        <w:jc w:val="center"/>
        <w:rPr>
          <w:rFonts w:hint="eastAsia"/>
          <w:b/>
          <w:bCs/>
          <w:sz w:val="28"/>
          <w:szCs w:val="28"/>
          <w:lang w:val="en-US" w:eastAsia="zh-CN"/>
        </w:rPr>
      </w:pPr>
      <w:r>
        <w:rPr>
          <w:rFonts w:hint="eastAsia"/>
          <w:b/>
          <w:bCs/>
          <w:sz w:val="28"/>
          <w:szCs w:val="28"/>
          <w:lang w:val="en-US" w:eastAsia="zh-CN"/>
        </w:rPr>
        <w:t>二、内镜清洗工作站技术参数</w:t>
      </w:r>
    </w:p>
    <w:p w14:paraId="5F1C806D">
      <w:pPr>
        <w:keepNext w:val="0"/>
        <w:keepLines w:val="0"/>
        <w:pageBreakBefore w:val="0"/>
        <w:widowControl w:val="0"/>
        <w:numPr>
          <w:ilvl w:val="0"/>
          <w:numId w:val="5"/>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配置：≥6槽；超声槽、阳性槽、清洗槽、漂洗槽、消毒槽、末洗槽、干燥台；</w:t>
      </w:r>
    </w:p>
    <w:p w14:paraId="1232EBE3">
      <w:pPr>
        <w:keepNext w:val="0"/>
        <w:keepLines w:val="0"/>
        <w:pageBreakBefore w:val="0"/>
        <w:widowControl w:val="0"/>
        <w:numPr>
          <w:ilvl w:val="0"/>
          <w:numId w:val="5"/>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材质要求：采用进口高分子复合材料（ABS+亚克力PMMA）整体热合吸塑成型，区别于普通YKL（AKL）塑料、玻璃钢或大理石等材料。无锋角，无接缝，细菌附着率低、抗菌抗渗透性优异，表面光亮平滑、耐磨、耐酸碱、易清洗，损伤后容易修复、寿命长，不变色不变脆，对人体无毒性。复合板材不得含有对人体有害的甲醛、金属特定元素、邻苯二甲酸脂（盐）、多环芳氢等有害物质;（提供第三方特定元素、甲醛检测报告）复合板材板材按照《抑菌和抗菌效果评价方法》WS/T650-2019检测要求，大肠杆菌8099，抗菌活性值R≥6.0，金黄色葡萄糖球菌ATCC-6538， 抗菌活性值R≥4.0。（提供CMA认证的抗菌活性检测报告）；</w:t>
      </w:r>
    </w:p>
    <w:p w14:paraId="3640855B">
      <w:pPr>
        <w:keepNext w:val="0"/>
        <w:keepLines w:val="0"/>
        <w:pageBreakBefore w:val="0"/>
        <w:widowControl w:val="0"/>
        <w:numPr>
          <w:ilvl w:val="0"/>
          <w:numId w:val="5"/>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耐腐蚀要求：高分子复合材料（ABS+亚克力PMMA）在邻苯二甲醛溶液侵泡≥400H，无可视无变化、在过氧乙酸溶液侵泡≥400H，无可视无变化、在戊二醛溶液侵泡≥400H，无可视无变化；提供第三方耐腐蚀性上述三种消毒溶液浸泡≥400H检验报告。</w:t>
      </w:r>
    </w:p>
    <w:p w14:paraId="10F5E65A">
      <w:pPr>
        <w:keepNext w:val="0"/>
        <w:keepLines w:val="0"/>
        <w:pageBreakBefore w:val="0"/>
        <w:widowControl w:val="0"/>
        <w:numPr>
          <w:ilvl w:val="0"/>
          <w:numId w:val="5"/>
        </w:numPr>
        <w:tabs>
          <w:tab w:val="left" w:pos="2172"/>
        </w:tabs>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lang w:val="en-US" w:eastAsia="zh-CN" w:bidi="ar-SA"/>
        </w:rPr>
        <w:t>清洗槽规格尺寸要求： 根据场地设计。</w:t>
      </w:r>
    </w:p>
    <w:p w14:paraId="7CCD65CA">
      <w:pPr>
        <w:keepNext w:val="0"/>
        <w:keepLines w:val="0"/>
        <w:pageBreakBefore w:val="0"/>
        <w:widowControl w:val="0"/>
        <w:numPr>
          <w:ilvl w:val="0"/>
          <w:numId w:val="5"/>
        </w:numPr>
        <w:tabs>
          <w:tab w:val="left" w:pos="2172"/>
        </w:tabs>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kern w:val="0"/>
          <w:sz w:val="21"/>
          <w:szCs w:val="21"/>
          <w:lang w:val="en-US" w:eastAsia="zh-CN" w:bidi="ar-SA"/>
        </w:rPr>
      </w:pPr>
      <w:r>
        <w:rPr>
          <w:rFonts w:hint="eastAsia" w:ascii="宋体" w:hAnsi="宋体" w:cs="宋体"/>
          <w:color w:val="auto"/>
          <w:kern w:val="2"/>
          <w:sz w:val="21"/>
          <w:szCs w:val="21"/>
          <w:lang w:val="en-US" w:eastAsia="zh-CN" w:bidi="ar-SA"/>
        </w:rPr>
        <w:t>▲</w:t>
      </w:r>
      <w:r>
        <w:rPr>
          <w:rFonts w:hint="eastAsia" w:ascii="宋体" w:hAnsi="宋体" w:eastAsia="宋体" w:cs="宋体"/>
          <w:sz w:val="21"/>
          <w:szCs w:val="21"/>
          <w:highlight w:val="none"/>
        </w:rPr>
        <w:t>材料抗老化性：设备的主体材料高分子复合材料（PMMA+ABS）在紫外线辐射照度</w:t>
      </w:r>
      <w:r>
        <w:rPr>
          <w:rFonts w:hint="eastAsia" w:ascii="宋体" w:hAnsi="宋体" w:eastAsia="宋体" w:cs="宋体"/>
          <w:color w:val="auto"/>
          <w:kern w:val="2"/>
          <w:sz w:val="21"/>
          <w:szCs w:val="21"/>
          <w:lang w:val="en-US" w:eastAsia="zh-CN" w:bidi="ar-SA"/>
        </w:rPr>
        <w:t>≥</w:t>
      </w:r>
      <w:r>
        <w:rPr>
          <w:rFonts w:hint="eastAsia" w:ascii="宋体" w:hAnsi="宋体" w:eastAsia="宋体" w:cs="宋体"/>
          <w:sz w:val="21"/>
          <w:szCs w:val="21"/>
          <w:highlight w:val="none"/>
          <w:lang w:val="en-US" w:eastAsia="zh-CN"/>
        </w:rPr>
        <w:t>0.76</w:t>
      </w:r>
      <w:r>
        <w:rPr>
          <w:rFonts w:hint="eastAsia" w:ascii="宋体" w:hAnsi="宋体" w:eastAsia="宋体" w:cs="宋体"/>
          <w:sz w:val="21"/>
          <w:szCs w:val="21"/>
          <w:highlight w:val="none"/>
        </w:rPr>
        <w:t>W/m2/nm@34</w:t>
      </w:r>
      <w:r>
        <w:rPr>
          <w:rFonts w:hint="eastAsia" w:ascii="宋体" w:hAnsi="宋体" w:eastAsia="宋体" w:cs="宋体"/>
          <w:sz w:val="21"/>
          <w:szCs w:val="21"/>
          <w:highlight w:val="none"/>
          <w:lang w:val="en-US" w:eastAsia="zh-CN"/>
        </w:rPr>
        <w:t>0</w:t>
      </w:r>
      <w:r>
        <w:rPr>
          <w:rFonts w:hint="eastAsia" w:ascii="宋体" w:hAnsi="宋体" w:eastAsia="宋体" w:cs="宋体"/>
          <w:sz w:val="21"/>
          <w:szCs w:val="21"/>
          <w:highlight w:val="none"/>
        </w:rPr>
        <w:t>nm情况下，通过紫外老化试验。</w:t>
      </w:r>
      <w:r>
        <w:rPr>
          <w:rFonts w:hint="eastAsia" w:ascii="宋体" w:hAnsi="宋体" w:eastAsia="宋体" w:cs="宋体"/>
          <w:sz w:val="21"/>
          <w:szCs w:val="21"/>
          <w:highlight w:val="none"/>
          <w:lang w:val="en-US" w:eastAsia="zh-CN"/>
        </w:rPr>
        <w:t>提供第三方抗紫外线老化性检测报告。</w:t>
      </w:r>
    </w:p>
    <w:p w14:paraId="22C7561E">
      <w:pPr>
        <w:keepNext w:val="0"/>
        <w:keepLines w:val="0"/>
        <w:pageBreakBefore w:val="0"/>
        <w:widowControl w:val="0"/>
        <w:numPr>
          <w:ilvl w:val="0"/>
          <w:numId w:val="5"/>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柜门材质要求：采用彩色钢化玻璃，具有环保、防火、防潮、防划伤、耐腐蚀、易清洁不变形等特点，柜门采用上挡板和下柜门分体设计，更美观，非整体柜门设计；柜门铰链采用进口阻尼铰链，实现柜门自动闭合到位。</w:t>
      </w:r>
    </w:p>
    <w:p w14:paraId="0060EE09">
      <w:pPr>
        <w:keepNext w:val="0"/>
        <w:keepLines w:val="0"/>
        <w:pageBreakBefore w:val="0"/>
        <w:widowControl w:val="0"/>
        <w:numPr>
          <w:ilvl w:val="0"/>
          <w:numId w:val="5"/>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cs="宋体"/>
          <w:color w:val="auto"/>
          <w:kern w:val="2"/>
          <w:sz w:val="21"/>
          <w:szCs w:val="21"/>
          <w:lang w:val="en-US" w:eastAsia="zh-CN" w:bidi="ar-SA"/>
        </w:rPr>
        <w:t>▲</w:t>
      </w:r>
      <w:r>
        <w:rPr>
          <w:rFonts w:hint="eastAsia" w:ascii="宋体" w:hAnsi="宋体" w:eastAsia="宋体" w:cs="宋体"/>
          <w:kern w:val="0"/>
          <w:sz w:val="21"/>
          <w:szCs w:val="21"/>
          <w:lang w:val="en-US" w:eastAsia="zh-CN" w:bidi="ar-SA"/>
        </w:rPr>
        <w:t>干燥台要求：干燥台采用内凹式平台圆弧设计，干燥平台台面设计有圆形凸起，干燥平台台面低于前端，并且在干燥台前端设计有半径≥100MM的大圆弧，在有效的防止内镜和其它正在干燥的附件等意外滑落的同时，为操作人员提供腰腹的支撑，降低操作人员的劳动强度。内镜清洗工作站的干燥台面承重要求：亚克力材质≥100KG。（提供第三方100kg</w:t>
      </w:r>
      <w:r>
        <w:rPr>
          <w:rFonts w:hint="eastAsia" w:ascii="宋体" w:hAnsi="宋体" w:cs="宋体"/>
          <w:kern w:val="0"/>
          <w:sz w:val="21"/>
          <w:szCs w:val="21"/>
          <w:lang w:val="en-US" w:eastAsia="zh-CN" w:bidi="ar-SA"/>
        </w:rPr>
        <w:t>承重</w:t>
      </w:r>
      <w:r>
        <w:rPr>
          <w:rFonts w:hint="eastAsia" w:ascii="宋体" w:hAnsi="宋体" w:eastAsia="宋体" w:cs="宋体"/>
          <w:kern w:val="0"/>
          <w:sz w:val="21"/>
          <w:szCs w:val="21"/>
          <w:lang w:val="en-US" w:eastAsia="zh-CN" w:bidi="ar-SA"/>
        </w:rPr>
        <w:t>检测报告）</w:t>
      </w:r>
    </w:p>
    <w:p w14:paraId="647CF49F">
      <w:pPr>
        <w:keepNext w:val="0"/>
        <w:keepLines w:val="0"/>
        <w:pageBreakBefore w:val="0"/>
        <w:widowControl w:val="0"/>
        <w:numPr>
          <w:ilvl w:val="0"/>
          <w:numId w:val="5"/>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柜体底板材质要求：柜体底板采用PVC塑钢板材质，非复合板及碳钢烤漆板，杜绝出现膨胀或生锈的情况。（提供市级及以上检验所的材质检验报告）</w:t>
      </w:r>
    </w:p>
    <w:p w14:paraId="4808F244">
      <w:pPr>
        <w:keepNext w:val="0"/>
        <w:keepLines w:val="0"/>
        <w:pageBreakBefore w:val="0"/>
        <w:widowControl w:val="0"/>
        <w:numPr>
          <w:ilvl w:val="0"/>
          <w:numId w:val="5"/>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全自动灌注主机要求：采用隐藏式后置设计，不占用操作空间，一键式操作，方便快捷；注水注气系统采用分离式设计，采用“一次性”注水，避免了交叉感染的危险；注气压力小于0.16MPa。</w:t>
      </w:r>
    </w:p>
    <w:p w14:paraId="65B8FA73">
      <w:pPr>
        <w:keepNext w:val="0"/>
        <w:keepLines w:val="0"/>
        <w:pageBreakBefore w:val="0"/>
        <w:widowControl w:val="0"/>
        <w:numPr>
          <w:ilvl w:val="0"/>
          <w:numId w:val="5"/>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控制器要求：采用液晶中文显示屏，隐藏式设计，采用触摸控制按键，非按键膜按键。</w:t>
      </w:r>
    </w:p>
    <w:p w14:paraId="0909E8A5">
      <w:pPr>
        <w:keepNext w:val="0"/>
        <w:keepLines w:val="0"/>
        <w:pageBreakBefore w:val="0"/>
        <w:widowControl w:val="0"/>
        <w:numPr>
          <w:ilvl w:val="0"/>
          <w:numId w:val="5"/>
        </w:numPr>
        <w:tabs>
          <w:tab w:val="left" w:pos="2172"/>
        </w:tabs>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kern w:val="0"/>
          <w:sz w:val="21"/>
          <w:szCs w:val="21"/>
          <w:lang w:val="en-US" w:eastAsia="zh-CN" w:bidi="ar-SA"/>
        </w:rPr>
      </w:pPr>
      <w:r>
        <w:rPr>
          <w:rFonts w:hint="eastAsia" w:ascii="宋体" w:hAnsi="宋体" w:cs="宋体"/>
          <w:kern w:val="0"/>
          <w:sz w:val="21"/>
          <w:szCs w:val="21"/>
          <w:lang w:val="en-US" w:eastAsia="zh-CN" w:bidi="ar-SA"/>
        </w:rPr>
        <w:t>▲</w:t>
      </w:r>
      <w:r>
        <w:rPr>
          <w:rFonts w:hint="eastAsia" w:ascii="宋体" w:hAnsi="宋体" w:eastAsia="宋体" w:cs="宋体"/>
          <w:kern w:val="0"/>
          <w:sz w:val="21"/>
          <w:szCs w:val="21"/>
          <w:lang w:val="en-US" w:eastAsia="zh-CN" w:bidi="ar-SA"/>
        </w:rPr>
        <w:t>供</w:t>
      </w:r>
      <w:r>
        <w:rPr>
          <w:rFonts w:hint="eastAsia" w:ascii="宋体" w:hAnsi="宋体" w:cs="宋体"/>
          <w:kern w:val="0"/>
          <w:sz w:val="21"/>
          <w:szCs w:val="21"/>
          <w:lang w:val="en-US" w:eastAsia="zh-CN" w:bidi="ar-SA"/>
        </w:rPr>
        <w:t>排</w:t>
      </w:r>
      <w:r>
        <w:rPr>
          <w:rFonts w:hint="eastAsia" w:ascii="宋体" w:hAnsi="宋体" w:eastAsia="宋体" w:cs="宋体"/>
          <w:kern w:val="0"/>
          <w:sz w:val="21"/>
          <w:szCs w:val="21"/>
          <w:lang w:val="en-US" w:eastAsia="zh-CN" w:bidi="ar-SA"/>
        </w:rPr>
        <w:t>水管路要求：所有给水管采用优质PP-R冷、热水管材和管件</w:t>
      </w:r>
      <w:r>
        <w:rPr>
          <w:rFonts w:hint="eastAsia" w:ascii="宋体" w:hAnsi="宋体" w:cs="宋体"/>
          <w:kern w:val="0"/>
          <w:sz w:val="21"/>
          <w:szCs w:val="21"/>
          <w:lang w:val="en-US" w:eastAsia="zh-CN" w:bidi="ar-SA"/>
        </w:rPr>
        <w:t>和所有排水管采用优质PVC-U排水管材和管件</w:t>
      </w:r>
      <w:r>
        <w:rPr>
          <w:rFonts w:hint="eastAsia" w:ascii="宋体" w:hAnsi="宋体" w:eastAsia="宋体" w:cs="宋体"/>
          <w:kern w:val="0"/>
          <w:sz w:val="21"/>
          <w:szCs w:val="21"/>
          <w:lang w:val="en-US" w:eastAsia="zh-CN" w:bidi="ar-SA"/>
        </w:rPr>
        <w:t>，符合GB/T 11547-2008中PP-R技术要求，具有耐热、耐压、保温节能、使用寿命长等优点，产品特点：无毒、无锈蚀、永不结垢、不滋生细菌、流速快、成本造价高；采用同质热熔连接技术，管材、管件完全熔为一体，真正杜绝跑、冒、滴、漏。管材和管件高柔韧度，不怕严寒气温，可接受很大的膨胀，外形美观，工艺精致，可回收性：在生产、施工、使用过程中对环境无任何污染，是绿色环保产品。 （提供产品实物照片及第三方符合GB/T 11547-2008耐腐蚀检测报告）</w:t>
      </w:r>
    </w:p>
    <w:p w14:paraId="0B26A540">
      <w:pPr>
        <w:keepNext w:val="0"/>
        <w:keepLines w:val="0"/>
        <w:pageBreakBefore w:val="0"/>
        <w:widowControl w:val="0"/>
        <w:numPr>
          <w:ilvl w:val="0"/>
          <w:numId w:val="5"/>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 xml:space="preserve">水质过滤器要求：对工作站末洗槽内镜的灌流和冲洗提供符合规范要求的过滤水，防止交叉感染，过滤型水处理器为≤0.2μm；分级高精度超微过滤流量：≥0.3T/h，可更换滤芯。（提供滤芯检测报告）    </w:t>
      </w:r>
    </w:p>
    <w:p w14:paraId="52A2F1A9">
      <w:pPr>
        <w:keepNext w:val="0"/>
        <w:keepLines w:val="0"/>
        <w:pageBreakBefore w:val="0"/>
        <w:widowControl w:val="0"/>
        <w:numPr>
          <w:ilvl w:val="0"/>
          <w:numId w:val="5"/>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s="宋体"/>
          <w:kern w:val="0"/>
          <w:sz w:val="21"/>
          <w:szCs w:val="21"/>
          <w:lang w:val="en-US" w:eastAsia="zh-CN" w:bidi="ar-SA"/>
        </w:rPr>
      </w:pPr>
      <w:r>
        <w:rPr>
          <w:rFonts w:hint="eastAsia" w:ascii="宋体" w:hAnsi="宋体" w:cs="宋体"/>
          <w:kern w:val="0"/>
          <w:sz w:val="21"/>
          <w:szCs w:val="21"/>
          <w:lang w:val="en-US" w:eastAsia="zh-CN" w:bidi="ar-SA"/>
        </w:rPr>
        <w:t>▲</w:t>
      </w:r>
      <w:r>
        <w:rPr>
          <w:rFonts w:hint="eastAsia" w:ascii="宋体" w:hAnsi="宋体" w:eastAsia="宋体" w:cs="宋体"/>
          <w:kern w:val="0"/>
          <w:sz w:val="21"/>
          <w:szCs w:val="21"/>
          <w:lang w:val="en-US" w:eastAsia="zh-CN" w:bidi="ar-SA"/>
        </w:rPr>
        <w:t>终末漂洗水质要求：终末漂洗用水水质符合WS507-2016 《软式内镜清洗消毒技术规范》及医药行业标准YY0992-2016《内镜清洗工作站》要求，终末漂洗槽水龙头、水枪、灌流器出水水质细菌总数≤10CFU/100mL的要求细菌内毒素不大于0.25EU/mL的要求。提供</w:t>
      </w:r>
      <w:r>
        <w:rPr>
          <w:rFonts w:hint="eastAsia" w:ascii="宋体" w:hAnsi="宋体" w:cs="宋体"/>
          <w:kern w:val="0"/>
          <w:sz w:val="21"/>
          <w:szCs w:val="21"/>
          <w:lang w:val="en-US" w:eastAsia="zh-CN" w:bidi="ar-SA"/>
        </w:rPr>
        <w:t>省级以上单位出具</w:t>
      </w:r>
      <w:r>
        <w:rPr>
          <w:rFonts w:hint="eastAsia" w:ascii="宋体" w:hAnsi="宋体" w:eastAsia="宋体" w:cs="宋体"/>
          <w:kern w:val="0"/>
          <w:sz w:val="21"/>
          <w:szCs w:val="21"/>
          <w:lang w:val="en-US" w:eastAsia="zh-CN" w:bidi="ar-SA"/>
        </w:rPr>
        <w:t>的水质细菌总数及细菌内毒素检验报告并提供终末漂洗水菌落数第三方检测报告。</w:t>
      </w:r>
    </w:p>
    <w:p w14:paraId="2D97B1C9">
      <w:pPr>
        <w:keepNext w:val="0"/>
        <w:keepLines w:val="0"/>
        <w:pageBreakBefore w:val="0"/>
        <w:widowControl w:val="0"/>
        <w:numPr>
          <w:ilvl w:val="0"/>
          <w:numId w:val="5"/>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排污型水质处理器要求：安装于设备总水源处，过滤水源中的杂质、水锈等异物，提供用水质量；具备排污功能，无需更换滤芯。</w:t>
      </w:r>
    </w:p>
    <w:p w14:paraId="2C11CC2E">
      <w:pPr>
        <w:keepNext w:val="0"/>
        <w:keepLines w:val="0"/>
        <w:pageBreakBefore w:val="0"/>
        <w:widowControl w:val="0"/>
        <w:numPr>
          <w:ilvl w:val="0"/>
          <w:numId w:val="5"/>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▲不锈钢水龙头：全优质SUS304不锈钢材质水龙头，过滤网孔径≤250µm(≥60目)，360度旋转式设计，提供省级以上单位出具的过滤网孔径≤250µm数据报告。</w:t>
      </w:r>
    </w:p>
    <w:p w14:paraId="245C0F10">
      <w:pPr>
        <w:keepNext w:val="0"/>
        <w:keepLines w:val="0"/>
        <w:pageBreakBefore w:val="0"/>
        <w:widowControl w:val="0"/>
        <w:numPr>
          <w:ilvl w:val="0"/>
          <w:numId w:val="5"/>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医用洁净气源：内置风冷、净化干燥及≤0.01μm高精过滤系统，提供医疗级气源供应，保证气体干燥度、洁净度；干燥度≤50mg/Nm³，单泵供气，供气量≥150L/min；标配压力检测元件、安全阀，压力可调，满足各类干燥用气压力要求；噪音≦60dB，给操作人员提供舒适的工作环境；具备自动排水功能，避免手动排水带来的繁琐。 电压：220V ,输出功率：≥750W。</w:t>
      </w:r>
    </w:p>
    <w:p w14:paraId="1BB6FBB3">
      <w:pPr>
        <w:keepNext w:val="0"/>
        <w:keepLines w:val="0"/>
        <w:pageBreakBefore w:val="0"/>
        <w:widowControl w:val="0"/>
        <w:numPr>
          <w:ilvl w:val="0"/>
          <w:numId w:val="5"/>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中心气体处理器要求:无源型，分离空气中的油污，水分，提高干燥台上干燥气体的清洁度，具有自动调节气压和自动过滤水分的功能，并另外设有注气压力调节器（不高于0.02MPa）,可调范围0.15～0.6MPa,提供省级以上单位出具的数据检验报告。</w:t>
      </w:r>
    </w:p>
    <w:p w14:paraId="0BB6977E">
      <w:pPr>
        <w:keepNext w:val="0"/>
        <w:keepLines w:val="0"/>
        <w:pageBreakBefore w:val="0"/>
        <w:widowControl w:val="0"/>
        <w:numPr>
          <w:ilvl w:val="0"/>
          <w:numId w:val="5"/>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空气过滤器：对工作站高压气枪及内镜管腔注气提供符合规范要求的洁净空气，防止交叉感染，空气过滤器过滤精度为≤0.2μm，可更换滤芯。</w:t>
      </w:r>
    </w:p>
    <w:p w14:paraId="54486A8D">
      <w:pPr>
        <w:keepNext w:val="0"/>
        <w:keepLines w:val="0"/>
        <w:pageBreakBefore w:val="0"/>
        <w:widowControl w:val="0"/>
        <w:numPr>
          <w:ilvl w:val="0"/>
          <w:numId w:val="5"/>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高压水枪、高压气枪材质及功能要求：枪体采用SUS304不锈钢，防止内腔腐蚀生锈，避免二次污染。</w:t>
      </w:r>
    </w:p>
    <w:p w14:paraId="3BC1F26B">
      <w:pPr>
        <w:keepNext w:val="0"/>
        <w:keepLines w:val="0"/>
        <w:pageBreakBefore w:val="0"/>
        <w:widowControl w:val="0"/>
        <w:numPr>
          <w:ilvl w:val="0"/>
          <w:numId w:val="5"/>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▲内嵌式超声波清洗槽：超声波采用内嵌式设计，材质为优质SUS304不锈钢，四周应有橡胶减震胶条，与设备主体融合，且不占用更多的空间，工作频率：≥38KHz，提供超声频率≥38KHz检验报告。</w:t>
      </w:r>
    </w:p>
    <w:p w14:paraId="1B435CEB">
      <w:pPr>
        <w:keepNext w:val="0"/>
        <w:keepLines w:val="0"/>
        <w:pageBreakBefore w:val="0"/>
        <w:widowControl w:val="0"/>
        <w:numPr>
          <w:ilvl w:val="0"/>
          <w:numId w:val="5"/>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▲超声功率密度：为保证精密器械安全性，超声功率密度＜0.4W/c㎡,提供超声功率密度检验报告。</w:t>
      </w:r>
    </w:p>
    <w:p w14:paraId="39AB5860">
      <w:pPr>
        <w:keepNext w:val="0"/>
        <w:keepLines w:val="0"/>
        <w:pageBreakBefore w:val="0"/>
        <w:widowControl w:val="0"/>
        <w:numPr>
          <w:ilvl w:val="0"/>
          <w:numId w:val="5"/>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酒精灌注系统要求：酒精自动灌注内镜管腔，自动注气辅助干燥，方便快捷，采用蠕动泵定量控制，进酒精速度为≥5ml/s。应符合医药行业标准YY0992-2023《内镜清洗工作站》要求：酒精不足提示报警，并在控制屏上显示“酒精不足”。（提供控制屏“酒精不足”照片佐证材料及国家药品监督管理局提供的检验报告）</w:t>
      </w:r>
    </w:p>
    <w:p w14:paraId="45CDB872">
      <w:pPr>
        <w:keepNext w:val="0"/>
        <w:keepLines w:val="0"/>
        <w:pageBreakBefore w:val="0"/>
        <w:widowControl w:val="0"/>
        <w:numPr>
          <w:ilvl w:val="0"/>
          <w:numId w:val="5"/>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消毒液隐藏功能:回收箱容量≥30000±50ml，动态管理消毒液，每日清洗消毒结束后，将消毒液放入位于柜体内的密闭桶中，次日清洗时只需按动开关即可将消毒液吸入消毒槽中，过期的消毒液可自动排入排污管道；提供回收箱容量≥30000±50ml的第三方检测报告。</w:t>
      </w:r>
    </w:p>
    <w:p w14:paraId="4BEFDFF2">
      <w:pPr>
        <w:keepNext w:val="0"/>
        <w:keepLines w:val="0"/>
        <w:pageBreakBefore w:val="0"/>
        <w:widowControl w:val="0"/>
        <w:numPr>
          <w:ilvl w:val="0"/>
          <w:numId w:val="0"/>
        </w:numPr>
        <w:tabs>
          <w:tab w:val="left" w:pos="2172"/>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资质要求：按照国食药监械[2009]66号文件，</w:t>
      </w:r>
      <w:r>
        <w:rPr>
          <w:rFonts w:hint="eastAsia" w:ascii="宋体" w:hAnsi="宋体" w:cs="宋体"/>
          <w:kern w:val="0"/>
          <w:sz w:val="21"/>
          <w:szCs w:val="21"/>
          <w:lang w:val="en-US" w:eastAsia="zh-CN" w:bidi="ar-SA"/>
        </w:rPr>
        <w:t>内镜清洗工作站</w:t>
      </w:r>
      <w:r>
        <w:rPr>
          <w:rFonts w:hint="eastAsia" w:ascii="宋体" w:hAnsi="宋体" w:eastAsia="宋体" w:cs="宋体"/>
          <w:kern w:val="0"/>
          <w:sz w:val="21"/>
          <w:szCs w:val="21"/>
          <w:lang w:val="en-US" w:eastAsia="zh-CN" w:bidi="ar-SA"/>
        </w:rPr>
        <w:t>应具有二类医疗器械注册证；提供二类医疗器械注册证证明材料。</w:t>
      </w:r>
    </w:p>
    <w:p w14:paraId="1DEC0583">
      <w:pPr>
        <w:keepNext w:val="0"/>
        <w:keepLines w:val="0"/>
        <w:pageBreakBefore w:val="0"/>
        <w:widowControl w:val="0"/>
        <w:numPr>
          <w:ilvl w:val="0"/>
          <w:numId w:val="0"/>
        </w:numPr>
        <w:tabs>
          <w:tab w:val="left" w:pos="2172"/>
        </w:tabs>
        <w:kinsoku/>
        <w:wordWrap/>
        <w:overflowPunct/>
        <w:topLinePunct w:val="0"/>
        <w:autoSpaceDE/>
        <w:autoSpaceDN/>
        <w:bidi w:val="0"/>
        <w:adjustRightInd/>
        <w:snapToGrid/>
        <w:spacing w:line="360" w:lineRule="auto"/>
        <w:ind w:leftChars="0"/>
        <w:textAlignment w:val="auto"/>
      </w:pPr>
      <w:r>
        <w:rPr>
          <w:rFonts w:hint="eastAsia" w:ascii="宋体" w:hAnsi="宋体" w:eastAsia="宋体" w:cs="宋体"/>
          <w:kern w:val="0"/>
          <w:sz w:val="21"/>
          <w:szCs w:val="21"/>
          <w:lang w:val="en-US" w:eastAsia="zh-CN" w:bidi="ar-SA"/>
        </w:rPr>
        <w:t>24.质保5年。</w:t>
      </w:r>
    </w:p>
    <w:p w14:paraId="3BE5FD09">
      <w:pPr>
        <w:pStyle w:val="7"/>
        <w:rPr>
          <w:rFonts w:hint="default"/>
          <w:lang w:val="en-US" w:eastAsia="zh-CN"/>
        </w:rPr>
      </w:pPr>
    </w:p>
    <w:p w14:paraId="0C288C56">
      <w:pPr>
        <w:ind w:firstLine="2249" w:firstLineChars="800"/>
        <w:rPr>
          <w:rFonts w:hint="eastAsia"/>
          <w:b/>
          <w:bCs/>
          <w:sz w:val="28"/>
          <w:szCs w:val="28"/>
          <w:lang w:val="en-US" w:eastAsia="zh-CN"/>
        </w:rPr>
      </w:pPr>
      <w:r>
        <w:rPr>
          <w:rFonts w:hint="eastAsia"/>
          <w:b/>
          <w:bCs/>
          <w:sz w:val="28"/>
          <w:szCs w:val="28"/>
          <w:lang w:val="en-US" w:eastAsia="zh-CN"/>
        </w:rPr>
        <w:t>三、内镜追溯管理系统技术参数</w:t>
      </w:r>
    </w:p>
    <w:p w14:paraId="5F214AAE">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功能要求：内镜追溯管理系统利用RFID技术，对内镜的洗消、存储、使用等各个环节进行跟踪监控，达到质量控制目的进而为管理者决策提供有效的数据依据。包含内镜洗消、内镜存储、内镜诊疗、质量控制四大模块。</w:t>
      </w:r>
    </w:p>
    <w:p w14:paraId="6BD5FE73">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针对内镜清洗工作站，采用RFID技术实现内镜清洗消毒作业数据的动态采集，获取每条内镜初洗、酶洗、漂洗、消毒、终末漂洗、干燥等各清洗、消毒步骤的实时数据记录。</w:t>
      </w:r>
    </w:p>
    <w:p w14:paraId="1B4156E0">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可接入软式内镜清洗消毒机、内镜清洗工作站及内镜存储柜，自动获取设备洗消存储数据。</w:t>
      </w:r>
    </w:p>
    <w:p w14:paraId="19B94849">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洗消阶段采集的数据包括:内镜名称、内镜钢号、内镜类型、洗消程序、清洗人员、清洗日期、各个步骤开始时间、洗消总时长、内镜状态等。</w:t>
      </w:r>
    </w:p>
    <w:p w14:paraId="693371A7">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语音提醒功能：正常作业及不规范作业行为均提供电脑语音提醒或告警支持，包含RFID刷卡信息语音提示、不规范操作语音告警。</w:t>
      </w:r>
    </w:p>
    <w:p w14:paraId="4824CF2E">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洗消阶段监控：实时显示内镜名称、洗消阶段、时间、操作人，辅助用户完成洗消工作。</w:t>
      </w:r>
    </w:p>
    <w:p w14:paraId="2CD3E8BB">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内镜洗消明细：查询指定日期段的内镜清洗明细，查询条件：日期时间、洗消人、洗消类型。查询结果：内镜种类、内镜型号、内镜编号、洗消人、洗消日期、内镜名称、洗消时长、清洗工序。导出Excel格式文件。</w:t>
      </w:r>
    </w:p>
    <w:p w14:paraId="74B8730B">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特殊清洗查询：查询特殊感染患者使用后的内镜清洗明细。查询条件：日期、洗消人、内镜类型；查询结果：洗消人、内镜种类、内镜型号、内镜编号、洗消日期、洗消时长、清洗步骤。导出Excel格式文件。</w:t>
      </w:r>
    </w:p>
    <w:p w14:paraId="7A0FF37D">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清洗工作量统计：统计清洗人指定时间段内的清洗内镜数量。查询条件：洗消人、日期。查询结果：洗消内镜数量、洗消人。导出Excel格式文件。</w:t>
      </w:r>
    </w:p>
    <w:p w14:paraId="64D0030E">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人员管理：可维护科室人员信息，包括：科室、岗位、用户编码、院内工号、用户姓名、性别、年龄、手机号、座机号等。</w:t>
      </w:r>
    </w:p>
    <w:p w14:paraId="752E2EB8">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内镜管理：可维护科室所有内镜的基础信息。包括：内镜编码、内镜名称、内镜钢号、内镜类型、所属科室、厂家、使用次数、内镜状态、</w:t>
      </w:r>
    </w:p>
    <w:p w14:paraId="33CE282B">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测漏登记：系统支持对内镜测漏情况登记，记录每条内镜的测漏时间，操作人，镜子名称，测漏结果。</w:t>
      </w:r>
    </w:p>
    <w:p w14:paraId="14C45A01">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消毒液监测可记录：消毒液种类，消毒液名称，设备（内镜清洗工作站/全自动消毒机），消毒槽，监测时间，操作人，检测结果（是否合格），检测结果照片。</w:t>
      </w:r>
    </w:p>
    <w:p w14:paraId="317F1C48">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采用RFID技术实现内镜存储柜出入库数据的动态采集，获取每条内镜出入库时间、操作人、存储柜号、内镜名称数据记录。</w:t>
      </w:r>
    </w:p>
    <w:p w14:paraId="7F119390">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系统支持存储流程记录信息完整时自动提交数据库保存，无需用户二次操作软件，有效减少用户操作次数并降低存储记录漏保存的概率。</w:t>
      </w:r>
    </w:p>
    <w:p w14:paraId="63815F95">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存储阶段采集的数据包括：操作人、出入库内镜名称、出入库内镜型号、出入库内镜钢号、内镜出入库时间、内镜状态、内镜存储柜名称、内镜存储柜编号。</w:t>
      </w:r>
    </w:p>
    <w:p w14:paraId="40DC4EE1">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实时库存信息查询：查询条件包括存储柜名称、编号，内镜名称、编号；查询结果包括内镜名称、内镜型号、操作人、入库时间、内镜存储柜名称、内镜存储柜编号</w:t>
      </w:r>
    </w:p>
    <w:p w14:paraId="15DF72EB">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内镜出入库查询：查询条件包括存储柜名称、编号，内镜名称、编号，日期；查询结果包括内镜名称、内镜型号、操作人、出入库时间、内镜存储柜名称、内镜存储柜编号</w:t>
      </w:r>
    </w:p>
    <w:p w14:paraId="3AEE830B">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采用RFID技术实现内镜诊疗数据的动态采集，真实准确地获知内镜、使用者、病人等信息。</w:t>
      </w:r>
    </w:p>
    <w:p w14:paraId="7791B9A1">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系统支持与PACS或HIS做病人接口，直接获取病人数据，无需用户手动操作。</w:t>
      </w:r>
    </w:p>
    <w:p w14:paraId="20C29D80">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诊疗阶段采集的数据包括：操作人、内镜名称、检查开始时间、检查结束时间、病人检查号、病人姓名、医生姓名、阳性标识、诊疗房间号。</w:t>
      </w:r>
    </w:p>
    <w:p w14:paraId="03734588">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病人使用追溯查询：查询病人使用的内镜使用前和使用后的内镜洗消过程明细；查询条件：病人姓名、检查号、使用日期范围；查询结果：病人姓名、检查号、使用日期，内镜种类、内镜型号、内镜编号、使用前后的清洗人、清洗日期、清洗步骤、清洗时长等。</w:t>
      </w:r>
    </w:p>
    <w:p w14:paraId="75A6D8BF">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对各个环节清洗消毒时间进行监管，对不满足最低清洗消毒时间的操作进行报警提示，且无法进入下一洗消步骤。</w:t>
      </w:r>
    </w:p>
    <w:p w14:paraId="6A91BD4B">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对内镜存储进行监管，对未经清洗消毒或清洗消毒不合格的内镜进行报警提示并严禁储存。</w:t>
      </w:r>
    </w:p>
    <w:p w14:paraId="76ED9114">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对内镜诊疗进行监管，对未经清洗消毒或清洗消毒不合格的内镜进行报警提示并严禁给病人使用。</w:t>
      </w:r>
    </w:p>
    <w:p w14:paraId="2B8A7E74">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建立阳性内镜的监管记录，将阳性镜与普通内镜区分处理，避免交叉感染。</w:t>
      </w:r>
    </w:p>
    <w:p w14:paraId="71F4C99B">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对登记损坏的内镜信息及时进行反馈，方便用户及时维修补全，不耽误用户使用。</w:t>
      </w:r>
    </w:p>
    <w:p w14:paraId="2BC1EDBF">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统计内镜的使用次数，对于使用达到一定次数的内镜提醒用户及时检修。</w:t>
      </w:r>
    </w:p>
    <w:p w14:paraId="2537B862">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配置电脑1台。</w:t>
      </w:r>
    </w:p>
    <w:p w14:paraId="04A6164A">
      <w:pPr>
        <w:keepNext w:val="0"/>
        <w:keepLines w:val="0"/>
        <w:pageBreakBefore w:val="0"/>
        <w:widowControl w:val="0"/>
        <w:numPr>
          <w:ilvl w:val="0"/>
          <w:numId w:val="0"/>
        </w:numPr>
        <w:tabs>
          <w:tab w:val="left" w:pos="2172"/>
        </w:tabs>
        <w:kinsoku/>
        <w:wordWrap/>
        <w:overflowPunct/>
        <w:topLinePunct w:val="0"/>
        <w:autoSpaceDE/>
        <w:autoSpaceDN/>
        <w:bidi w:val="0"/>
        <w:adjustRightInd/>
        <w:snapToGrid/>
        <w:spacing w:line="360" w:lineRule="auto"/>
        <w:ind w:leftChars="0"/>
        <w:textAlignment w:val="auto"/>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30.质保5年。（电脑除外）</w:t>
      </w:r>
    </w:p>
    <w:p w14:paraId="1F972E55">
      <w:pPr>
        <w:keepNext w:val="0"/>
        <w:keepLines w:val="0"/>
        <w:pageBreakBefore w:val="0"/>
        <w:widowControl w:val="0"/>
        <w:numPr>
          <w:ilvl w:val="0"/>
          <w:numId w:val="0"/>
        </w:numPr>
        <w:tabs>
          <w:tab w:val="left" w:pos="2172"/>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1"/>
          <w:szCs w:val="21"/>
          <w:lang w:val="en-US" w:eastAsia="zh-CN" w:bidi="ar-SA"/>
        </w:rPr>
      </w:pPr>
    </w:p>
    <w:p w14:paraId="5B072463">
      <w:pPr>
        <w:jc w:val="center"/>
        <w:rPr>
          <w:rFonts w:hint="eastAsia"/>
          <w:b/>
          <w:bCs/>
          <w:sz w:val="28"/>
          <w:szCs w:val="28"/>
          <w:lang w:val="en-US" w:eastAsia="zh-CN"/>
        </w:rPr>
      </w:pPr>
      <w:r>
        <w:rPr>
          <w:rFonts w:hint="eastAsia"/>
          <w:b/>
          <w:bCs/>
          <w:sz w:val="28"/>
          <w:szCs w:val="28"/>
          <w:lang w:val="en-US" w:eastAsia="zh-CN"/>
        </w:rPr>
        <w:t>四、全自动内镜纯水机技术参数</w:t>
      </w:r>
    </w:p>
    <w:p w14:paraId="21111C24">
      <w:pPr>
        <w:keepNext w:val="0"/>
        <w:keepLines w:val="0"/>
        <w:pageBreakBefore w:val="0"/>
        <w:widowControl w:val="0"/>
        <w:numPr>
          <w:ilvl w:val="0"/>
          <w:numId w:val="7"/>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 xml:space="preserve">产水量：≥500L/h    </w:t>
      </w:r>
    </w:p>
    <w:p w14:paraId="5FCFBB96">
      <w:pPr>
        <w:keepNext w:val="0"/>
        <w:keepLines w:val="0"/>
        <w:pageBreakBefore w:val="0"/>
        <w:widowControl w:val="0"/>
        <w:numPr>
          <w:ilvl w:val="0"/>
          <w:numId w:val="7"/>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产水水质标准：符合WS310-2016清洗用纯化水电导率≤15us/cm(25℃)，以及符合WS507-2016清洗用水的标准菌落总数≤10CFU/100mL的规定。</w:t>
      </w:r>
    </w:p>
    <w:p w14:paraId="325BB50A">
      <w:pPr>
        <w:keepNext w:val="0"/>
        <w:keepLines w:val="0"/>
        <w:pageBreakBefore w:val="0"/>
        <w:widowControl w:val="0"/>
        <w:numPr>
          <w:ilvl w:val="0"/>
          <w:numId w:val="7"/>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系统采用“集成控制器+触摸屏”全自动控制，系统相关设备受液位联锁控制自动运行。整个系统全过程微电脑控制，并通过触摸液晶显示屏实时在线显示设备运行状态（水质、压力等），整个控制系统具备自动功能（自动制水、自动冲洗、自动紫外线消毒、自动臭氧消毒、原水缺水/水箱满水自动停机等）。</w:t>
      </w:r>
    </w:p>
    <w:p w14:paraId="6FA0770D">
      <w:pPr>
        <w:keepNext w:val="0"/>
        <w:keepLines w:val="0"/>
        <w:pageBreakBefore w:val="0"/>
        <w:widowControl w:val="0"/>
        <w:numPr>
          <w:ilvl w:val="0"/>
          <w:numId w:val="7"/>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主要工艺流程：采用“预处理+单级反渗透+纯水恒压供水+消毒系统”工艺。</w:t>
      </w:r>
    </w:p>
    <w:p w14:paraId="7D9A5CEC">
      <w:pPr>
        <w:keepNext w:val="0"/>
        <w:keepLines w:val="0"/>
        <w:pageBreakBefore w:val="0"/>
        <w:widowControl w:val="0"/>
        <w:numPr>
          <w:ilvl w:val="0"/>
          <w:numId w:val="7"/>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▲系统封闭式全自动运行，采用预处理+RO膜处理技术、紫外线+臭氧杀菌消毒工艺，反渗主机及供水系统具有定时自动脉冲冲洗功能，防止系统长时间停运造成细菌滋生确保产水水质。</w:t>
      </w:r>
    </w:p>
    <w:p w14:paraId="20CC39BA">
      <w:pPr>
        <w:keepNext w:val="0"/>
        <w:keepLines w:val="0"/>
        <w:pageBreakBefore w:val="0"/>
        <w:widowControl w:val="0"/>
        <w:numPr>
          <w:ilvl w:val="0"/>
          <w:numId w:val="7"/>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▲系统具备一键式全自动化学消毒技术，对制水系统和供水系统+循环管路进行自动消毒，消毒液采用自吸式方式加入。</w:t>
      </w:r>
    </w:p>
    <w:p w14:paraId="57AA041D">
      <w:pPr>
        <w:keepNext w:val="0"/>
        <w:keepLines w:val="0"/>
        <w:pageBreakBefore w:val="0"/>
        <w:widowControl w:val="0"/>
        <w:numPr>
          <w:ilvl w:val="0"/>
          <w:numId w:val="7"/>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 xml:space="preserve">预处理系统：配备机械过滤器，树脂过滤器，精密过滤器，及相关辅助设备组成，预处理可实现自动正洗、反洗、再生、补水等功能。  </w:t>
      </w:r>
    </w:p>
    <w:p w14:paraId="45F7C450">
      <w:pPr>
        <w:keepNext w:val="0"/>
        <w:keepLines w:val="0"/>
        <w:pageBreakBefore w:val="0"/>
        <w:widowControl w:val="0"/>
        <w:numPr>
          <w:ilvl w:val="0"/>
          <w:numId w:val="7"/>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 xml:space="preserve">反渗透系统：具有运行冲洗、定时冲洗、手动冲洗等功能。   </w:t>
      </w:r>
    </w:p>
    <w:p w14:paraId="07AE8246">
      <w:pPr>
        <w:keepNext w:val="0"/>
        <w:keepLines w:val="0"/>
        <w:pageBreakBefore w:val="0"/>
        <w:widowControl w:val="0"/>
        <w:numPr>
          <w:ilvl w:val="0"/>
          <w:numId w:val="7"/>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▲纯水水箱：用于储备反渗透产水，水箱装有液位控制器，通过液位控制器实现反渗透装置和纯水外输送泵的起停，水箱内部安装浸没式紫外线消毒器，避免细菌及微生物的滋生。</w:t>
      </w:r>
    </w:p>
    <w:p w14:paraId="0102C9D7">
      <w:pPr>
        <w:keepNext w:val="0"/>
        <w:keepLines w:val="0"/>
        <w:pageBreakBefore w:val="0"/>
        <w:widowControl w:val="0"/>
        <w:numPr>
          <w:ilvl w:val="0"/>
          <w:numId w:val="0"/>
        </w:numPr>
        <w:tabs>
          <w:tab w:val="left" w:pos="2172"/>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具备开机自检、缺水保护报警、漏水保护、停电自动复位、水箱满水后自动停机、高水压、过载保护等功能。机械过滤自动冲洗，树脂过滤自动冲洗+再生，RO膜自动冲洗，供水系统脉冲循环，臭氧消毒自动开启，水质在线监测系统，可即时测量产水水质。</w:t>
      </w:r>
    </w:p>
    <w:p w14:paraId="7F746B80">
      <w:pPr>
        <w:keepNext w:val="0"/>
        <w:keepLines w:val="0"/>
        <w:pageBreakBefore w:val="0"/>
        <w:widowControl w:val="0"/>
        <w:numPr>
          <w:ilvl w:val="0"/>
          <w:numId w:val="0"/>
        </w:numPr>
        <w:tabs>
          <w:tab w:val="left" w:pos="2172"/>
        </w:tabs>
        <w:kinsoku/>
        <w:wordWrap/>
        <w:overflowPunct/>
        <w:topLinePunct w:val="0"/>
        <w:autoSpaceDE/>
        <w:autoSpaceDN/>
        <w:bidi w:val="0"/>
        <w:adjustRightInd/>
        <w:snapToGrid/>
        <w:spacing w:line="360" w:lineRule="auto"/>
        <w:ind w:leftChars="0"/>
        <w:textAlignment w:val="auto"/>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10.质保5年。</w:t>
      </w:r>
    </w:p>
    <w:p w14:paraId="3DFA946F">
      <w:pPr>
        <w:keepNext w:val="0"/>
        <w:keepLines w:val="0"/>
        <w:pageBreakBefore w:val="0"/>
        <w:widowControl w:val="0"/>
        <w:numPr>
          <w:ilvl w:val="0"/>
          <w:numId w:val="0"/>
        </w:numPr>
        <w:tabs>
          <w:tab w:val="left" w:pos="2172"/>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1"/>
          <w:szCs w:val="21"/>
          <w:lang w:val="en-US" w:eastAsia="zh-CN" w:bidi="ar-SA"/>
        </w:rPr>
      </w:pPr>
    </w:p>
    <w:p w14:paraId="302499EB">
      <w:pPr>
        <w:rPr>
          <w:rFonts w:hint="eastAsia"/>
          <w:b/>
          <w:bCs/>
          <w:sz w:val="28"/>
          <w:szCs w:val="28"/>
          <w:lang w:val="en-US" w:eastAsia="zh-CN"/>
        </w:rPr>
      </w:pPr>
    </w:p>
    <w:p w14:paraId="79782DCA">
      <w:pPr>
        <w:rPr>
          <w:rFonts w:hint="eastAsia"/>
          <w:b/>
          <w:bCs/>
          <w:sz w:val="28"/>
          <w:szCs w:val="28"/>
          <w:lang w:val="en-US" w:eastAsia="zh-CN"/>
        </w:rPr>
      </w:pPr>
      <w:r>
        <w:rPr>
          <w:rFonts w:hint="eastAsia"/>
          <w:b/>
          <w:bCs/>
          <w:sz w:val="28"/>
          <w:szCs w:val="28"/>
          <w:lang w:val="en-US" w:eastAsia="zh-CN"/>
        </w:rPr>
        <w:br w:type="page"/>
      </w:r>
    </w:p>
    <w:p w14:paraId="0EFED525">
      <w:pPr>
        <w:jc w:val="center"/>
        <w:rPr>
          <w:rFonts w:hint="eastAsia"/>
          <w:b/>
          <w:bCs/>
          <w:sz w:val="28"/>
          <w:szCs w:val="28"/>
          <w:lang w:val="en-US" w:eastAsia="zh-CN"/>
        </w:rPr>
      </w:pPr>
      <w:r>
        <w:rPr>
          <w:rFonts w:hint="eastAsia"/>
          <w:b/>
          <w:bCs/>
          <w:sz w:val="28"/>
          <w:szCs w:val="28"/>
          <w:lang w:val="en-US" w:eastAsia="zh-CN"/>
        </w:rPr>
        <w:t>五、内镜储存柜技术参数</w:t>
      </w:r>
    </w:p>
    <w:p w14:paraId="1B8B130D">
      <w:pPr>
        <w:keepNext w:val="0"/>
        <w:keepLines w:val="0"/>
        <w:pageBreakBefore w:val="0"/>
        <w:widowControl w:val="0"/>
        <w:numPr>
          <w:ilvl w:val="0"/>
          <w:numId w:val="8"/>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储存容量：≥6条内镜</w:t>
      </w:r>
    </w:p>
    <w:p w14:paraId="0691D7DE">
      <w:pPr>
        <w:keepNext w:val="0"/>
        <w:keepLines w:val="0"/>
        <w:pageBreakBefore w:val="0"/>
        <w:widowControl w:val="0"/>
        <w:numPr>
          <w:ilvl w:val="0"/>
          <w:numId w:val="8"/>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材质：内胆是ABS+亚克力PMMA特种复合性材料及特种工艺制成，整体吸塑成型，表面光滑，不残留细菌，无死角易清洁</w:t>
      </w:r>
    </w:p>
    <w:p w14:paraId="0AED2AEB">
      <w:pPr>
        <w:keepNext w:val="0"/>
        <w:keepLines w:val="0"/>
        <w:pageBreakBefore w:val="0"/>
        <w:widowControl w:val="0"/>
        <w:numPr>
          <w:ilvl w:val="0"/>
          <w:numId w:val="8"/>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控制方式：数码管摸控制屏，有一键切换控制钮，方便简洁</w:t>
      </w:r>
    </w:p>
    <w:p w14:paraId="72DAE8B4">
      <w:pPr>
        <w:keepNext w:val="0"/>
        <w:keepLines w:val="0"/>
        <w:pageBreakBefore w:val="0"/>
        <w:widowControl w:val="0"/>
        <w:numPr>
          <w:ilvl w:val="0"/>
          <w:numId w:val="8"/>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固定模式：上中下三层定位保护内镜；</w:t>
      </w:r>
    </w:p>
    <w:p w14:paraId="3AAF4AA2">
      <w:pPr>
        <w:keepNext w:val="0"/>
        <w:keepLines w:val="0"/>
        <w:pageBreakBefore w:val="0"/>
        <w:widowControl w:val="0"/>
        <w:numPr>
          <w:ilvl w:val="0"/>
          <w:numId w:val="8"/>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照明效果：LED冷光照明灯，在提供照明需求的同时，不产生热量，安全可靠。</w:t>
      </w:r>
    </w:p>
    <w:p w14:paraId="523C10C1">
      <w:pPr>
        <w:keepNext w:val="0"/>
        <w:keepLines w:val="0"/>
        <w:pageBreakBefore w:val="0"/>
        <w:widowControl w:val="0"/>
        <w:numPr>
          <w:ilvl w:val="0"/>
          <w:numId w:val="8"/>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储存效果：密闭储存，内胆与储存柜外空气密封隔离，保证储存柜外部空气无法进入内胆；</w:t>
      </w:r>
    </w:p>
    <w:p w14:paraId="50B24B92">
      <w:pPr>
        <w:keepNext w:val="0"/>
        <w:keepLines w:val="0"/>
        <w:pageBreakBefore w:val="0"/>
        <w:widowControl w:val="0"/>
        <w:numPr>
          <w:ilvl w:val="0"/>
          <w:numId w:val="8"/>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储存模式：可根据标准程序完成紫外线杀菌和风机循环通风功能，也可独立设置紫外线灯杀菌和风机运行的工作时间，可自动停止，节能高效。</w:t>
      </w:r>
    </w:p>
    <w:p w14:paraId="11E7AD95">
      <w:pPr>
        <w:keepNext w:val="0"/>
        <w:keepLines w:val="0"/>
        <w:pageBreakBefore w:val="0"/>
        <w:widowControl w:val="0"/>
        <w:numPr>
          <w:ilvl w:val="0"/>
          <w:numId w:val="8"/>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质保5年。</w:t>
      </w:r>
    </w:p>
    <w:p w14:paraId="2F0A60AF">
      <w:pPr>
        <w:keepNext w:val="0"/>
        <w:keepLines w:val="0"/>
        <w:widowControl/>
        <w:suppressLineNumbers w:val="0"/>
        <w:jc w:val="center"/>
        <w:rPr>
          <w:rFonts w:hint="eastAsia" w:ascii="宋体" w:hAnsi="宋体" w:eastAsia="宋体" w:cs="宋体"/>
          <w:b/>
          <w:bCs/>
          <w:color w:val="000000"/>
          <w:kern w:val="0"/>
          <w:sz w:val="28"/>
          <w:szCs w:val="28"/>
          <w:lang w:val="en-US" w:eastAsia="zh-CN" w:bidi="ar"/>
        </w:rPr>
      </w:pPr>
    </w:p>
    <w:p w14:paraId="68DEDD23">
      <w:pPr>
        <w:keepNext w:val="0"/>
        <w:keepLines w:val="0"/>
        <w:widowControl/>
        <w:suppressLineNumbers w:val="0"/>
        <w:jc w:val="center"/>
        <w:rPr>
          <w:rFonts w:hint="eastAsia"/>
          <w:b/>
          <w:bCs/>
          <w:sz w:val="28"/>
          <w:szCs w:val="28"/>
          <w:lang w:val="en-US" w:eastAsia="zh-CN"/>
        </w:rPr>
      </w:pPr>
      <w:r>
        <w:rPr>
          <w:rFonts w:hint="eastAsia" w:ascii="宋体" w:hAnsi="宋体" w:eastAsia="宋体" w:cs="宋体"/>
          <w:b/>
          <w:bCs/>
          <w:color w:val="000000"/>
          <w:kern w:val="0"/>
          <w:sz w:val="28"/>
          <w:szCs w:val="28"/>
          <w:lang w:val="en-US" w:eastAsia="zh-CN" w:bidi="ar"/>
        </w:rPr>
        <w:t>六、医用等离子体空气消毒器</w:t>
      </w:r>
      <w:r>
        <w:rPr>
          <w:rFonts w:hint="eastAsia"/>
          <w:b/>
          <w:bCs/>
          <w:sz w:val="28"/>
          <w:szCs w:val="28"/>
          <w:lang w:val="en-US" w:eastAsia="zh-CN"/>
        </w:rPr>
        <w:t>技术参数</w:t>
      </w:r>
    </w:p>
    <w:p w14:paraId="3811A0E3">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采用等离子体＋静电吸附消毒灭菌；</w:t>
      </w:r>
    </w:p>
    <w:p w14:paraId="7407ABE4">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医用等离子体空气消毒器壳体采用优质冷轧钢板，表面静电喷涂，防尘效果好、使用寿命长、安全系数高；</w:t>
      </w:r>
    </w:p>
    <w:p w14:paraId="4337E935">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采用嵌入式安装方式；</w:t>
      </w:r>
    </w:p>
    <w:p w14:paraId="4350DCC7">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人机共存，可在有人状态下进行连续动态消毒，对人及物品没有任何伤害；</w:t>
      </w:r>
    </w:p>
    <w:p w14:paraId="57534FAA">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整机依据空气动力学，采用正面回风、四周出风的方式，能更有效利用康达效应，使洁净空气均匀地分布到室内每一个角落；</w:t>
      </w:r>
    </w:p>
    <w:p w14:paraId="5A36A7DB">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额定循环风量≥1000m³/h，可适用于100m³体积及以下的场所；</w:t>
      </w:r>
    </w:p>
    <w:p w14:paraId="17EE0D9C">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噪声：＜52.3dB；（提供带有CMA、CNAS标志的检测报告）；</w:t>
      </w:r>
    </w:p>
    <w:p w14:paraId="1054C3E5">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等离子体发生器电场强度≥8500V；（提供第三方检测机构检测报告）；</w:t>
      </w:r>
    </w:p>
    <w:p w14:paraId="3A6C3496">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等离子体发生器集尘区电场强度≥4100V；（提供第三方检测机构检测报告）；</w:t>
      </w:r>
    </w:p>
    <w:p w14:paraId="2BA3CA03">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▲等离子体发生器防水等级符合：GB/T4208-2017 IPX2（提供带有CMA或CNAS标志的检测报告）；</w:t>
      </w:r>
    </w:p>
    <w:p w14:paraId="31854CDA">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▲等离子体发生器高温检测符合：GB/T2423.2-2008 严酷等级：85℃、检测时间2h（提供带有CMA、CNAS标志的检测报告）；</w:t>
      </w:r>
    </w:p>
    <w:p w14:paraId="7F80F4DC">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设备持续工作1h，臭氧残留量＜0.003mg/m³（提供带有CMA或CNAS标志的检测报告）；</w:t>
      </w:r>
    </w:p>
    <w:p w14:paraId="33F9ADAD">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设备工作30min对白色葡萄球菌的杀灭率＞99.95%（提供带有CMA、CNAS标志的检测报告）；</w:t>
      </w:r>
    </w:p>
    <w:p w14:paraId="75C54613">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设备持续工作1h，对体积为100 m3室内空气中的自然菌消亡率均≥90%（提供带有CMA、CNAS标志的检测报告）;</w:t>
      </w:r>
    </w:p>
    <w:p w14:paraId="3CFD4829">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100m³房间设备持续工作1h，对每个采样点≥0.5um平均悬浮粒子浓度值均≤3520000粒/m3，达到十万级洁净度（提供带有CMA、CNAS标志的检测报告）；</w:t>
      </w:r>
    </w:p>
    <w:p w14:paraId="18B0B384">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设备持续工作1h，气雾室肺炎克雷伯氏菌的杀灭率＞99.99%（提供带有CMA、CNAS标志的检测报告）；</w:t>
      </w:r>
    </w:p>
    <w:p w14:paraId="0ED1DA13">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设备持续工作1h，金黄色葡萄球菌的杀灭率＞99.99%（提供带有CMA、CNAS标志的检测报告）；</w:t>
      </w:r>
    </w:p>
    <w:p w14:paraId="783DAC62">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设备持续工作1h黑曲霉菌的杀灭率≥99.96%（提供带有CMA、CNAS标志的检测报告）；</w:t>
      </w:r>
    </w:p>
    <w:p w14:paraId="60F5C9A7">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设备持续工作1h龟分枝杆菌的杀灭率≥99.98%（提供带有CMA、CNAS标志的检测报告）；</w:t>
      </w:r>
    </w:p>
    <w:p w14:paraId="6BEC4AE3">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设备持续工作1h，气雾室甲型流感病毒H1N1的杀灭率＞</w:t>
      </w:r>
      <w:r>
        <w:rPr>
          <w:rFonts w:hint="default" w:ascii="宋体" w:hAnsi="宋体" w:eastAsia="宋体" w:cs="宋体"/>
          <w:kern w:val="0"/>
          <w:sz w:val="21"/>
          <w:szCs w:val="21"/>
          <w:lang w:val="en-US" w:eastAsia="zh-CN" w:bidi="ar-SA"/>
        </w:rPr>
        <w:t>99.99％</w:t>
      </w:r>
      <w:r>
        <w:rPr>
          <w:rFonts w:hint="eastAsia" w:ascii="宋体" w:hAnsi="宋体" w:eastAsia="宋体" w:cs="宋体"/>
          <w:kern w:val="0"/>
          <w:sz w:val="21"/>
          <w:szCs w:val="21"/>
          <w:lang w:val="en-US" w:eastAsia="zh-CN" w:bidi="ar-SA"/>
        </w:rPr>
        <w:t>（提供带有CMA或CNAS标志的检测报告）；</w:t>
      </w:r>
    </w:p>
    <w:p w14:paraId="32892B8B">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设备持续消毒1h，对溶血性链球菌、鼠伤寒沙门氏菌杀灭率＞99.9%（提供带有CMA、CNAS标志的检测报告）；</w:t>
      </w:r>
    </w:p>
    <w:p w14:paraId="2F889D24">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▲设备持续消毒1h，噬菌体Phi-X174病毒去除率＞99.99%（提供带有CMA、CNAS标志的检测报告）；</w:t>
      </w:r>
    </w:p>
    <w:p w14:paraId="6BC86B21">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设备持续消毒30min，对单增李斯特菌、福氏志贺菌的杀灭率≥99.98%（提供带有CMA、CNAS标志的检测报告）；</w:t>
      </w:r>
    </w:p>
    <w:p w14:paraId="55CAFC03">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设备持续消毒30min，对铜绿假单胞菌的杀灭率≥99.9%（提供带有CMA、CNAS标志的检测报告）；</w:t>
      </w:r>
    </w:p>
    <w:p w14:paraId="33B5FE24">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▲设备持续消毒30min，对人冠状病毒 HCoV-OC43、肠道病毒 EV71的杀灭率＞99.99%（提供带有CMA、CNAS标志的检测报告）；</w:t>
      </w:r>
    </w:p>
    <w:p w14:paraId="2D3AA63C">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设备持续消毒1h后，室内的空气平均菌落总数＜4CFU/皿（15min）（提供带有CMA或CNAS标志的检测报告）；</w:t>
      </w:r>
    </w:p>
    <w:p w14:paraId="7278EA74">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采用高档液晶显示屏，远程红外线遥控，可实时显示北京时间，定时时间、定时时间段，室内温湿度，故障报警，可查询显示累计时间等；</w:t>
      </w:r>
    </w:p>
    <w:p w14:paraId="6EA06C48">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 xml:space="preserve">高、中、低三挡可调风速供用户选择；手控、遥控多种控制方式供用户选择；手动、定时、临时多种工作模式方便用户操作；遥控器上设有一键锁定功能，防止误操作； </w:t>
      </w:r>
    </w:p>
    <w:p w14:paraId="3A02FE45">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程控数量（定时消毒）≥6组，具备工作时间自动累计功能，满足临床需求；</w:t>
      </w:r>
    </w:p>
    <w:p w14:paraId="15A27CDE">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产品具有报警功能，等离子体杀菌净化模块故障报警、过滤器清洗维护报警、风机故障报警；</w:t>
      </w:r>
    </w:p>
    <w:p w14:paraId="3FA72507">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产品需在全国消毒产品网上备案信息服务平台备案，并提供备案截图。</w:t>
      </w:r>
    </w:p>
    <w:p w14:paraId="7B2BD828">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质保5年。</w:t>
      </w:r>
    </w:p>
    <w:p w14:paraId="5B42E572">
      <w:pPr>
        <w:rPr>
          <w:rFonts w:hint="default" w:ascii="宋体" w:hAnsi="宋体" w:eastAsia="宋体" w:cs="宋体"/>
          <w:kern w:val="0"/>
          <w:sz w:val="21"/>
          <w:szCs w:val="21"/>
          <w:lang w:val="en-US" w:eastAsia="zh-CN" w:bidi="ar-SA"/>
        </w:rPr>
      </w:pPr>
    </w:p>
    <w:p w14:paraId="00EA23D9">
      <w:pPr>
        <w:keepNext w:val="0"/>
        <w:keepLines w:val="0"/>
        <w:widowControl/>
        <w:suppressLineNumbers w:val="0"/>
        <w:jc w:val="center"/>
        <w:rPr>
          <w:rFonts w:hint="eastAsia"/>
          <w:b/>
          <w:bCs/>
          <w:sz w:val="28"/>
          <w:szCs w:val="28"/>
          <w:lang w:val="en-US" w:eastAsia="zh-CN"/>
        </w:rPr>
      </w:pPr>
      <w:r>
        <w:rPr>
          <w:rFonts w:hint="eastAsia"/>
          <w:b/>
          <w:bCs/>
          <w:sz w:val="28"/>
          <w:szCs w:val="28"/>
          <w:lang w:val="en-US" w:eastAsia="zh-CN"/>
        </w:rPr>
        <w:t>七、医用吊塔技术参数</w:t>
      </w:r>
    </w:p>
    <w:p w14:paraId="1AC984DA">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t>★</w:t>
      </w:r>
      <w:r>
        <w:rPr>
          <w:rFonts w:hint="eastAsia" w:ascii="宋体" w:hAnsi="宋体" w:eastAsia="宋体" w:cs="宋体"/>
          <w:kern w:val="0"/>
          <w:sz w:val="21"/>
          <w:szCs w:val="21"/>
          <w:lang w:val="en-US" w:eastAsia="zh-CN" w:bidi="ar-SA"/>
        </w:rPr>
        <w:t>吊塔主体材料为高强度铝合金型材，圆弧形设计，美观大方，整体型材采用6063材质，承载性能更好；（提供带有CMA、CNAS标识的检测报告）</w:t>
      </w:r>
    </w:p>
    <w:p w14:paraId="6CA5BB99">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 xml:space="preserve">吊塔主体表面采用优质环保抗菌涂层静电喷涂，具有抑制细菌再生的作用，抑菌性能参照JIS Z 2801：2010进行检测，检测结果≥2.0，标准耐擦易清洁；（提供具有检测资质的第三方机构出具的检测报告） </w:t>
      </w:r>
    </w:p>
    <w:p w14:paraId="70CA90F6">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配置机械刹车，所有转动轴采用轴承转动顺畅可靠；</w:t>
      </w:r>
    </w:p>
    <w:p w14:paraId="582EDBA9">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吊塔转轴可在500 kg承重下可连续旋转15万次；（提供第三方检测机构出具的检测报告）</w:t>
      </w:r>
    </w:p>
    <w:p w14:paraId="2D253993">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悬臂最大承载不小于300kg，符合四倍安全承载系数；（提供第三方机构出具的检测报告）</w:t>
      </w:r>
    </w:p>
    <w:p w14:paraId="5D4EFC33">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★功能柱半包围结构设计，托盘内嵌式安装，背板安装操作检修门，可轻松打开进行操作，整体性更佳；（提供实物图片）</w:t>
      </w:r>
    </w:p>
    <w:p w14:paraId="00B780EA">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医用级气体管路，符合ISO5359-2014标准；</w:t>
      </w:r>
    </w:p>
    <w:p w14:paraId="1531F7AE">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配置有四层托盘，托盘为铝合金6063材质，六腔式结构一体压铸成型，无拼接缝隙，具有高承载性能，最大承载≥110kg，符合四倍承载安全系数（测试时在托盘上放置440 kg负载进行测试）；（提供第三方检测机构出具的检测报告）</w:t>
      </w:r>
    </w:p>
    <w:p w14:paraId="1924D36D">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气体终端、电源插座等均可完全隐藏在吊塔箱体内部，有线缆管理模块，辅助医护人员梳理线路，避免线缆凌乱；</w:t>
      </w:r>
    </w:p>
    <w:p w14:paraId="31D8E6C6">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配置进口内镜挂架，可悬挂2条软镜，挂架可拆下进行清洗、消毒；配置阻尼式关节转动臂，可轻松定位调节位置；配置有光源接头放置模块；</w:t>
      </w:r>
    </w:p>
    <w:p w14:paraId="6DF46EEC">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监视器悬挂系统采用Ondal平衡臂，稳定可靠；上下调节角度-45°~+45°，可升降调节高度≥1000mm；</w:t>
      </w:r>
    </w:p>
    <w:p w14:paraId="017F312F">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配置有专业的光源接头卡托，硅胶材质，对镜子起到良好的保护作用，可同时放置两条软镜；</w:t>
      </w:r>
    </w:p>
    <w:p w14:paraId="35E0BEF9">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★监视器调节灵活，可调节到操作人员最舒适的位置，减轻医护人员工作负担；监视器挂架四周带有防撞边框，保护监视器；监视器挂架下方带有可拆卸、可高温消毒的调节手柄；（提供监视器挂架实物图片）</w:t>
      </w:r>
    </w:p>
    <w:p w14:paraId="26FB2CD0">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抽屉为钢制抽屉，禁止使用PVC及塑料材质，保证经久耐用，采用自吸式标准导轨，安装于仪器平台底部，最大承载≥15kg，符合四倍承载安全系数（测试时在抽屉内放置60kg负载进行测试）；（提供第三方检测机构出具的检测报告）</w:t>
      </w:r>
    </w:p>
    <w:p w14:paraId="4DED21D9">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键盘抽屉采用自吸式标准导轨，自动吸合，方便收纳键盘；</w:t>
      </w:r>
    </w:p>
    <w:p w14:paraId="390E37F1">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医用吊塔外壳防火等级≥UL94-V0级，以保证使用安全；（提供具有检测资质的第三方机构出具的检测报告）</w:t>
      </w:r>
    </w:p>
    <w:p w14:paraId="10E5EC64">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★吊塔外壳涂膜附着力参照ISO2409:2013测试方法，附着力达到等级0，保证经久耐用，防止发生感控风险；（提供带有CMA、CNAS标识的检测报告）</w:t>
      </w:r>
    </w:p>
    <w:p w14:paraId="414F89E5">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医用吊塔外壳参照ISO9227:2022标准进行中性盐酸试验，外观评级参照ISO10289-1999,评级等级为10；（提供带有CMA、CNAS标识的检测报告）</w:t>
      </w:r>
    </w:p>
    <w:p w14:paraId="636F147A">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通过静态力负荷测试，负载状态下，功能柱箱体倾角≤0.8°；（提供第三方检测机构出具的检测报告）；</w:t>
      </w:r>
    </w:p>
    <w:p w14:paraId="1DC4DC17">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各终端接口均可内置隐藏式安装，所有线缆管路均在内部理线空间内连接到托盘上的内镜设备；</w:t>
      </w:r>
    </w:p>
    <w:p w14:paraId="468CE842">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悬臂四腔体结构设计，采用高强度铝合金型材厚度不小于8mm，确保高承重性，长时间使用不易变形；悬臂长度可根据现场情况定制，确保各类环境使用；；</w:t>
      </w:r>
    </w:p>
    <w:p w14:paraId="35C0B2EA">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★通过RoHS检测；（提供具有检测资质的第三方机构出具的检测报告）</w:t>
      </w:r>
    </w:p>
    <w:p w14:paraId="4F6872FD">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配置箱体显示器挂架，设备可同时悬挂两个显示器；</w:t>
      </w:r>
    </w:p>
    <w:p w14:paraId="6AF46581">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配置负压吸引瓶及挂架；</w:t>
      </w:r>
    </w:p>
    <w:p w14:paraId="15DFE3D6">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配置电源数量≥10个；</w:t>
      </w:r>
    </w:p>
    <w:p w14:paraId="32173E7F">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配置气体终端≥氧气×2、负压×2、空气×1、二氧化碳×1。</w:t>
      </w:r>
    </w:p>
    <w:p w14:paraId="27A7F317">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质保5年。</w:t>
      </w:r>
    </w:p>
    <w:p w14:paraId="599C10C4">
      <w:pPr>
        <w:jc w:val="center"/>
        <w:rPr>
          <w:rFonts w:hint="eastAsia"/>
          <w:b/>
          <w:bCs/>
          <w:sz w:val="28"/>
          <w:szCs w:val="28"/>
          <w:lang w:val="en-US" w:eastAsia="zh-CN"/>
        </w:rPr>
      </w:pPr>
    </w:p>
    <w:p w14:paraId="67C5B421">
      <w:pPr>
        <w:jc w:val="center"/>
        <w:rPr>
          <w:rFonts w:hint="eastAsia"/>
          <w:b/>
          <w:bCs/>
          <w:sz w:val="28"/>
          <w:szCs w:val="28"/>
          <w:lang w:val="en-US" w:eastAsia="zh-CN"/>
        </w:rPr>
      </w:pPr>
    </w:p>
    <w:p w14:paraId="7036BA41">
      <w:pPr>
        <w:spacing w:line="360" w:lineRule="auto"/>
        <w:jc w:val="left"/>
        <w:rPr>
          <w:rFonts w:hint="eastAsia" w:ascii="宋体" w:hAnsi="宋体" w:eastAsia="宋体" w:cs="宋体"/>
          <w:sz w:val="21"/>
          <w:szCs w:val="21"/>
        </w:rPr>
      </w:pPr>
    </w:p>
    <w:p w14:paraId="636EB055">
      <w:pPr>
        <w:ind w:firstLine="560" w:firstLineChars="200"/>
        <w:rPr>
          <w:rFonts w:hint="eastAsia" w:ascii="Times New Roman" w:hAnsi="Times New Roman" w:eastAsia="仿宋_GB2312" w:cs="Times New Roman"/>
          <w:sz w:val="28"/>
          <w:szCs w:val="28"/>
        </w:rPr>
      </w:pPr>
    </w:p>
    <w:p w14:paraId="751661D0">
      <w:pPr>
        <w:rPr>
          <w:rFonts w:hint="eastAsia" w:ascii="宋体" w:hAnsi="宋体" w:cs="宋体"/>
          <w:i w:val="0"/>
          <w:iCs w:val="0"/>
          <w:color w:val="auto"/>
          <w:highlight w:val="none"/>
        </w:rPr>
      </w:pPr>
    </w:p>
    <w:p w14:paraId="51BCEECB">
      <w:pPr>
        <w:rPr>
          <w:rFonts w:hint="eastAsia" w:ascii="宋体" w:hAnsi="宋体" w:cs="宋体"/>
          <w:i w:val="0"/>
          <w:iCs w:val="0"/>
          <w:color w:val="auto"/>
          <w:highlight w:val="none"/>
        </w:rPr>
      </w:pPr>
    </w:p>
    <w:p w14:paraId="11C794C0">
      <w:pPr>
        <w:rPr>
          <w:rFonts w:hint="eastAsia" w:ascii="宋体" w:hAnsi="宋体" w:cs="宋体"/>
          <w:i w:val="0"/>
          <w:iCs w:val="0"/>
          <w:color w:val="auto"/>
          <w:highlight w:val="none"/>
        </w:rPr>
      </w:pPr>
    </w:p>
    <w:p w14:paraId="51C5B88A">
      <w:pPr>
        <w:rPr>
          <w:rFonts w:hint="eastAsia" w:ascii="宋体" w:hAnsi="宋体" w:cs="宋体"/>
          <w:i w:val="0"/>
          <w:iCs w:val="0"/>
          <w:color w:val="auto"/>
          <w:highlight w:val="none"/>
        </w:rPr>
      </w:pPr>
    </w:p>
    <w:p w14:paraId="26B857AA">
      <w:pPr>
        <w:rPr>
          <w:rFonts w:hint="eastAsia" w:ascii="宋体" w:hAnsi="宋体" w:cs="宋体"/>
          <w:i w:val="0"/>
          <w:iCs w:val="0"/>
          <w:color w:val="auto"/>
          <w:highlight w:val="none"/>
        </w:rPr>
      </w:pPr>
    </w:p>
    <w:p w14:paraId="7CA85E9A">
      <w:pPr>
        <w:rPr>
          <w:rFonts w:hint="eastAsia" w:ascii="宋体" w:hAnsi="宋体" w:cs="宋体"/>
          <w:i w:val="0"/>
          <w:iCs w:val="0"/>
          <w:color w:val="auto"/>
          <w:highlight w:val="none"/>
        </w:rPr>
      </w:pPr>
    </w:p>
    <w:p w14:paraId="61A3DAB3">
      <w:pPr>
        <w:rPr>
          <w:rFonts w:hint="eastAsia" w:ascii="宋体" w:hAnsi="宋体" w:cs="宋体"/>
          <w:i w:val="0"/>
          <w:iCs w:val="0"/>
          <w:color w:val="auto"/>
          <w:highlight w:val="none"/>
        </w:rPr>
      </w:pPr>
    </w:p>
    <w:p w14:paraId="2ACD2F3E">
      <w:pPr>
        <w:rPr>
          <w:rFonts w:hint="eastAsia" w:ascii="宋体" w:hAnsi="宋体" w:cs="宋体"/>
          <w:i w:val="0"/>
          <w:iCs w:val="0"/>
          <w:color w:val="auto"/>
          <w:highlight w:val="none"/>
        </w:rPr>
      </w:pPr>
    </w:p>
    <w:p w14:paraId="5DAF2636">
      <w:pPr>
        <w:rPr>
          <w:rFonts w:hint="eastAsia" w:ascii="宋体" w:hAnsi="宋体" w:cs="宋体"/>
          <w:i w:val="0"/>
          <w:iCs w:val="0"/>
          <w:color w:val="auto"/>
          <w:highlight w:val="none"/>
        </w:rPr>
      </w:pPr>
    </w:p>
    <w:p w14:paraId="09EBEA67">
      <w:pPr>
        <w:rPr>
          <w:rFonts w:hint="eastAsia" w:ascii="宋体" w:hAnsi="宋体" w:cs="宋体"/>
          <w:i w:val="0"/>
          <w:iCs w:val="0"/>
          <w:color w:val="auto"/>
          <w:highlight w:val="none"/>
        </w:rPr>
      </w:pPr>
    </w:p>
    <w:p w14:paraId="56E8F993">
      <w:pPr>
        <w:rPr>
          <w:rFonts w:hint="eastAsia" w:ascii="宋体" w:hAnsi="宋体" w:cs="宋体"/>
          <w:i w:val="0"/>
          <w:iCs w:val="0"/>
          <w:color w:val="auto"/>
          <w:highlight w:val="none"/>
        </w:rPr>
      </w:pPr>
    </w:p>
    <w:p w14:paraId="7AC56493">
      <w:pPr>
        <w:rPr>
          <w:rFonts w:hint="eastAsia" w:ascii="宋体" w:hAnsi="宋体" w:cs="宋体"/>
          <w:i w:val="0"/>
          <w:iCs w:val="0"/>
          <w:color w:val="auto"/>
          <w:highlight w:val="none"/>
        </w:rPr>
      </w:pPr>
    </w:p>
    <w:p w14:paraId="1379E343">
      <w:pPr>
        <w:rPr>
          <w:rFonts w:hint="eastAsia" w:ascii="宋体" w:hAnsi="宋体" w:cs="宋体"/>
          <w:i w:val="0"/>
          <w:iCs w:val="0"/>
          <w:color w:val="auto"/>
          <w:highlight w:val="none"/>
        </w:rPr>
      </w:pPr>
    </w:p>
    <w:p w14:paraId="40F532C9">
      <w:pPr>
        <w:rPr>
          <w:rFonts w:hint="eastAsia" w:ascii="宋体" w:hAnsi="宋体" w:cs="宋体"/>
          <w:i w:val="0"/>
          <w:iCs w:val="0"/>
          <w:color w:val="auto"/>
          <w:highlight w:val="none"/>
        </w:rPr>
      </w:pPr>
    </w:p>
    <w:p w14:paraId="394D8E0F">
      <w:pPr>
        <w:rPr>
          <w:rFonts w:hint="eastAsia" w:ascii="宋体" w:hAnsi="宋体" w:cs="宋体"/>
          <w:i w:val="0"/>
          <w:iCs w:val="0"/>
          <w:color w:val="auto"/>
          <w:highlight w:val="none"/>
        </w:rPr>
      </w:pPr>
    </w:p>
    <w:p w14:paraId="1383BED5">
      <w:pPr>
        <w:rPr>
          <w:rFonts w:hint="eastAsia" w:ascii="宋体" w:hAnsi="宋体" w:cs="宋体"/>
          <w:i w:val="0"/>
          <w:iCs w:val="0"/>
          <w:color w:val="auto"/>
          <w:highlight w:val="none"/>
        </w:rPr>
      </w:pPr>
    </w:p>
    <w:p w14:paraId="3925FA97">
      <w:pPr>
        <w:rPr>
          <w:rFonts w:hint="eastAsia" w:ascii="宋体" w:hAnsi="宋体" w:cs="宋体"/>
          <w:i w:val="0"/>
          <w:iCs w:val="0"/>
          <w:color w:val="auto"/>
          <w:highlight w:val="none"/>
        </w:rPr>
      </w:pPr>
    </w:p>
    <w:p w14:paraId="44E75C0C">
      <w:pPr>
        <w:rPr>
          <w:rFonts w:hint="eastAsia" w:ascii="宋体" w:hAnsi="宋体" w:cs="宋体"/>
          <w:i w:val="0"/>
          <w:iCs w:val="0"/>
          <w:color w:val="auto"/>
          <w:highlight w:val="none"/>
        </w:rPr>
      </w:pPr>
    </w:p>
    <w:p w14:paraId="4F17BBDB">
      <w:pPr>
        <w:pStyle w:val="2"/>
        <w:jc w:val="center"/>
        <w:rPr>
          <w:rFonts w:ascii="宋体" w:hAnsi="宋体" w:cs="宋体"/>
          <w:i w:val="0"/>
          <w:iCs w:val="0"/>
          <w:color w:val="auto"/>
          <w:highlight w:val="none"/>
        </w:rPr>
      </w:pPr>
      <w:bookmarkStart w:id="246" w:name="_Toc20938"/>
      <w:r>
        <w:rPr>
          <w:rFonts w:hint="eastAsia" w:ascii="宋体" w:hAnsi="宋体" w:cs="宋体"/>
          <w:i w:val="0"/>
          <w:iCs w:val="0"/>
          <w:color w:val="auto"/>
          <w:highlight w:val="none"/>
        </w:rPr>
        <w:t>第六章 投标文件格式</w:t>
      </w:r>
      <w:bookmarkEnd w:id="245"/>
      <w:bookmarkEnd w:id="246"/>
    </w:p>
    <w:p w14:paraId="1C088EBB">
      <w:pPr>
        <w:rPr>
          <w:rFonts w:ascii="宋体" w:hAnsi="宋体" w:cs="宋体"/>
          <w:i w:val="0"/>
          <w:iCs w:val="0"/>
          <w:color w:val="auto"/>
          <w:highlight w:val="none"/>
        </w:rPr>
      </w:pPr>
      <w:r>
        <w:rPr>
          <w:rFonts w:hint="eastAsia" w:ascii="宋体" w:hAnsi="宋体" w:cs="宋体"/>
          <w:i w:val="0"/>
          <w:iCs w:val="0"/>
          <w:color w:val="auto"/>
          <w:highlight w:val="none"/>
        </w:rPr>
        <w:t xml:space="preserve"> </w:t>
      </w:r>
    </w:p>
    <w:p w14:paraId="076DAE67">
      <w:pPr>
        <w:rPr>
          <w:rFonts w:ascii="宋体" w:hAnsi="宋体" w:cs="宋体"/>
          <w:i w:val="0"/>
          <w:iCs w:val="0"/>
          <w:color w:val="auto"/>
          <w:highlight w:val="none"/>
        </w:rPr>
      </w:pPr>
      <w:r>
        <w:rPr>
          <w:rFonts w:hint="eastAsia" w:ascii="宋体" w:hAnsi="宋体" w:cs="宋体"/>
          <w:i w:val="0"/>
          <w:iCs w:val="0"/>
          <w:color w:val="auto"/>
          <w:highlight w:val="none"/>
        </w:rPr>
        <w:t xml:space="preserve"> </w:t>
      </w:r>
    </w:p>
    <w:p w14:paraId="3C7439D4">
      <w:pPr>
        <w:rPr>
          <w:rFonts w:ascii="宋体" w:hAnsi="宋体" w:cs="宋体"/>
          <w:i w:val="0"/>
          <w:iCs w:val="0"/>
          <w:color w:val="auto"/>
          <w:highlight w:val="none"/>
        </w:rPr>
      </w:pPr>
      <w:r>
        <w:rPr>
          <w:rFonts w:hint="eastAsia" w:ascii="宋体" w:hAnsi="宋体" w:cs="宋体"/>
          <w:i w:val="0"/>
          <w:iCs w:val="0"/>
          <w:color w:val="auto"/>
          <w:highlight w:val="none"/>
        </w:rPr>
        <w:t xml:space="preserve"> </w:t>
      </w:r>
    </w:p>
    <w:p w14:paraId="6D293C70">
      <w:pPr>
        <w:rPr>
          <w:rFonts w:ascii="宋体" w:hAnsi="宋体" w:cs="宋体"/>
          <w:i w:val="0"/>
          <w:iCs w:val="0"/>
          <w:color w:val="auto"/>
          <w:highlight w:val="none"/>
        </w:rPr>
      </w:pPr>
      <w:r>
        <w:rPr>
          <w:rFonts w:hint="eastAsia" w:ascii="宋体" w:hAnsi="宋体" w:cs="宋体"/>
          <w:i w:val="0"/>
          <w:iCs w:val="0"/>
          <w:color w:val="auto"/>
          <w:highlight w:val="none"/>
        </w:rPr>
        <w:t xml:space="preserve"> </w:t>
      </w:r>
    </w:p>
    <w:p w14:paraId="7D65C216">
      <w:pPr>
        <w:jc w:val="center"/>
        <w:rPr>
          <w:rFonts w:ascii="宋体" w:hAnsi="宋体" w:cs="宋体"/>
          <w:b/>
          <w:bCs/>
          <w:i w:val="0"/>
          <w:iCs w:val="0"/>
          <w:color w:val="auto"/>
          <w:sz w:val="44"/>
          <w:szCs w:val="44"/>
          <w:highlight w:val="none"/>
        </w:rPr>
      </w:pPr>
      <w:r>
        <w:rPr>
          <w:rFonts w:hint="eastAsia" w:ascii="宋体" w:hAnsi="宋体" w:cs="宋体"/>
          <w:b/>
          <w:bCs/>
          <w:i w:val="0"/>
          <w:iCs w:val="0"/>
          <w:color w:val="auto"/>
          <w:sz w:val="44"/>
          <w:szCs w:val="44"/>
          <w:highlight w:val="none"/>
          <w:u w:val="single"/>
        </w:rPr>
        <w:t xml:space="preserve">              </w:t>
      </w:r>
      <w:r>
        <w:rPr>
          <w:rFonts w:hint="eastAsia" w:ascii="宋体" w:hAnsi="宋体" w:cs="宋体"/>
          <w:b/>
          <w:bCs/>
          <w:i w:val="0"/>
          <w:iCs w:val="0"/>
          <w:color w:val="auto"/>
          <w:sz w:val="44"/>
          <w:szCs w:val="44"/>
          <w:highlight w:val="none"/>
        </w:rPr>
        <w:t>(项目名称)</w:t>
      </w:r>
    </w:p>
    <w:p w14:paraId="2688F5FE">
      <w:pPr>
        <w:rPr>
          <w:rFonts w:ascii="宋体" w:hAnsi="宋体" w:cs="宋体"/>
          <w:b/>
          <w:bCs/>
          <w:i w:val="0"/>
          <w:iCs w:val="0"/>
          <w:color w:val="auto"/>
          <w:sz w:val="44"/>
          <w:szCs w:val="44"/>
          <w:highlight w:val="none"/>
        </w:rPr>
      </w:pPr>
      <w:r>
        <w:rPr>
          <w:rFonts w:hint="eastAsia" w:ascii="宋体" w:hAnsi="宋体" w:cs="宋体"/>
          <w:b/>
          <w:bCs/>
          <w:i w:val="0"/>
          <w:iCs w:val="0"/>
          <w:color w:val="auto"/>
          <w:sz w:val="44"/>
          <w:szCs w:val="44"/>
          <w:highlight w:val="none"/>
        </w:rPr>
        <w:t xml:space="preserve"> </w:t>
      </w:r>
    </w:p>
    <w:p w14:paraId="70C07C7A">
      <w:pPr>
        <w:rPr>
          <w:rFonts w:ascii="宋体" w:hAnsi="宋体" w:cs="宋体"/>
          <w:b/>
          <w:bCs/>
          <w:i w:val="0"/>
          <w:iCs w:val="0"/>
          <w:color w:val="auto"/>
          <w:sz w:val="44"/>
          <w:szCs w:val="44"/>
          <w:highlight w:val="none"/>
        </w:rPr>
      </w:pPr>
      <w:r>
        <w:rPr>
          <w:rFonts w:hint="eastAsia" w:ascii="宋体" w:hAnsi="宋体" w:cs="宋体"/>
          <w:b/>
          <w:bCs/>
          <w:i w:val="0"/>
          <w:iCs w:val="0"/>
          <w:color w:val="auto"/>
          <w:sz w:val="44"/>
          <w:szCs w:val="44"/>
          <w:highlight w:val="none"/>
        </w:rPr>
        <w:t xml:space="preserve"> </w:t>
      </w:r>
    </w:p>
    <w:p w14:paraId="441DEDA8">
      <w:pPr>
        <w:rPr>
          <w:rFonts w:ascii="宋体" w:hAnsi="宋体" w:cs="宋体"/>
          <w:b/>
          <w:bCs/>
          <w:i w:val="0"/>
          <w:iCs w:val="0"/>
          <w:color w:val="auto"/>
          <w:sz w:val="44"/>
          <w:szCs w:val="44"/>
          <w:highlight w:val="none"/>
        </w:rPr>
      </w:pPr>
      <w:r>
        <w:rPr>
          <w:rFonts w:hint="eastAsia" w:ascii="宋体" w:hAnsi="宋体" w:cs="宋体"/>
          <w:b/>
          <w:bCs/>
          <w:i w:val="0"/>
          <w:iCs w:val="0"/>
          <w:color w:val="auto"/>
          <w:sz w:val="44"/>
          <w:szCs w:val="44"/>
          <w:highlight w:val="none"/>
        </w:rPr>
        <w:t xml:space="preserve"> </w:t>
      </w:r>
    </w:p>
    <w:p w14:paraId="2B99F481">
      <w:pPr>
        <w:rPr>
          <w:rFonts w:ascii="宋体" w:hAnsi="宋体" w:cs="宋体"/>
          <w:b/>
          <w:bCs/>
          <w:i w:val="0"/>
          <w:iCs w:val="0"/>
          <w:color w:val="auto"/>
          <w:sz w:val="44"/>
          <w:szCs w:val="44"/>
          <w:highlight w:val="none"/>
        </w:rPr>
      </w:pPr>
    </w:p>
    <w:p w14:paraId="3ACF7F94">
      <w:pPr>
        <w:rPr>
          <w:rFonts w:ascii="宋体" w:hAnsi="宋体" w:cs="宋体"/>
          <w:b/>
          <w:bCs/>
          <w:i w:val="0"/>
          <w:iCs w:val="0"/>
          <w:color w:val="auto"/>
          <w:sz w:val="44"/>
          <w:szCs w:val="44"/>
          <w:highlight w:val="none"/>
        </w:rPr>
      </w:pPr>
      <w:r>
        <w:rPr>
          <w:rFonts w:hint="eastAsia" w:ascii="宋体" w:hAnsi="宋体" w:cs="宋体"/>
          <w:b/>
          <w:bCs/>
          <w:i w:val="0"/>
          <w:iCs w:val="0"/>
          <w:color w:val="auto"/>
          <w:sz w:val="44"/>
          <w:szCs w:val="44"/>
          <w:highlight w:val="none"/>
        </w:rPr>
        <w:t xml:space="preserve"> </w:t>
      </w:r>
    </w:p>
    <w:p w14:paraId="537393E8">
      <w:pPr>
        <w:jc w:val="center"/>
        <w:rPr>
          <w:rFonts w:ascii="宋体" w:hAnsi="宋体" w:cs="宋体"/>
          <w:b/>
          <w:bCs/>
          <w:i w:val="0"/>
          <w:iCs w:val="0"/>
          <w:color w:val="auto"/>
          <w:sz w:val="72"/>
          <w:szCs w:val="72"/>
          <w:highlight w:val="none"/>
        </w:rPr>
      </w:pPr>
      <w:r>
        <w:rPr>
          <w:rFonts w:hint="eastAsia" w:ascii="宋体" w:hAnsi="宋体" w:cs="宋体"/>
          <w:b/>
          <w:bCs/>
          <w:i w:val="0"/>
          <w:iCs w:val="0"/>
          <w:color w:val="auto"/>
          <w:sz w:val="72"/>
          <w:szCs w:val="72"/>
          <w:highlight w:val="none"/>
        </w:rPr>
        <w:t>投 标 文 件</w:t>
      </w:r>
    </w:p>
    <w:p w14:paraId="60730025">
      <w:pPr>
        <w:rPr>
          <w:rFonts w:ascii="宋体" w:hAnsi="宋体" w:cs="宋体"/>
          <w:b/>
          <w:bCs/>
          <w:i w:val="0"/>
          <w:iCs w:val="0"/>
          <w:color w:val="auto"/>
          <w:sz w:val="44"/>
          <w:szCs w:val="44"/>
          <w:highlight w:val="none"/>
        </w:rPr>
      </w:pPr>
    </w:p>
    <w:p w14:paraId="12F7E9B3">
      <w:pPr>
        <w:rPr>
          <w:rFonts w:ascii="宋体" w:hAnsi="宋体" w:cs="宋体"/>
          <w:b/>
          <w:bCs/>
          <w:i w:val="0"/>
          <w:iCs w:val="0"/>
          <w:color w:val="auto"/>
          <w:sz w:val="44"/>
          <w:szCs w:val="44"/>
          <w:highlight w:val="none"/>
        </w:rPr>
      </w:pPr>
      <w:r>
        <w:rPr>
          <w:rFonts w:hint="eastAsia" w:ascii="宋体" w:hAnsi="宋体" w:cs="宋体"/>
          <w:b/>
          <w:bCs/>
          <w:i w:val="0"/>
          <w:iCs w:val="0"/>
          <w:color w:val="auto"/>
          <w:sz w:val="44"/>
          <w:szCs w:val="44"/>
          <w:highlight w:val="none"/>
        </w:rPr>
        <w:t xml:space="preserve"> </w:t>
      </w:r>
    </w:p>
    <w:p w14:paraId="6643B882">
      <w:pPr>
        <w:pStyle w:val="7"/>
        <w:rPr>
          <w:rFonts w:ascii="宋体" w:hAnsi="宋体" w:cs="宋体"/>
          <w:i w:val="0"/>
          <w:iCs w:val="0"/>
          <w:color w:val="auto"/>
          <w:highlight w:val="none"/>
        </w:rPr>
      </w:pPr>
    </w:p>
    <w:p w14:paraId="1464A088">
      <w:pPr>
        <w:rPr>
          <w:rFonts w:ascii="宋体" w:hAnsi="宋体" w:cs="宋体"/>
          <w:b/>
          <w:bCs/>
          <w:i w:val="0"/>
          <w:iCs w:val="0"/>
          <w:color w:val="auto"/>
          <w:sz w:val="44"/>
          <w:szCs w:val="44"/>
          <w:highlight w:val="none"/>
        </w:rPr>
      </w:pPr>
      <w:r>
        <w:rPr>
          <w:rFonts w:hint="eastAsia" w:ascii="宋体" w:hAnsi="宋体" w:cs="宋体"/>
          <w:b/>
          <w:bCs/>
          <w:i w:val="0"/>
          <w:iCs w:val="0"/>
          <w:color w:val="auto"/>
          <w:sz w:val="44"/>
          <w:szCs w:val="44"/>
          <w:highlight w:val="none"/>
        </w:rPr>
        <w:t xml:space="preserve"> </w:t>
      </w:r>
    </w:p>
    <w:p w14:paraId="505642FA">
      <w:pPr>
        <w:rPr>
          <w:rFonts w:ascii="宋体" w:hAnsi="宋体" w:cs="宋体"/>
          <w:b/>
          <w:bCs/>
          <w:i w:val="0"/>
          <w:iCs w:val="0"/>
          <w:color w:val="auto"/>
          <w:sz w:val="44"/>
          <w:szCs w:val="44"/>
          <w:highlight w:val="none"/>
        </w:rPr>
      </w:pPr>
      <w:r>
        <w:rPr>
          <w:rFonts w:hint="eastAsia" w:ascii="宋体" w:hAnsi="宋体" w:cs="宋体"/>
          <w:b/>
          <w:bCs/>
          <w:i w:val="0"/>
          <w:iCs w:val="0"/>
          <w:color w:val="auto"/>
          <w:sz w:val="44"/>
          <w:szCs w:val="44"/>
          <w:highlight w:val="none"/>
        </w:rPr>
        <w:t xml:space="preserve"> </w:t>
      </w:r>
    </w:p>
    <w:p w14:paraId="52E29898">
      <w:pPr>
        <w:rPr>
          <w:rFonts w:ascii="宋体" w:hAnsi="宋体" w:cs="宋体"/>
          <w:b/>
          <w:bCs/>
          <w:i w:val="0"/>
          <w:iCs w:val="0"/>
          <w:color w:val="auto"/>
          <w:sz w:val="44"/>
          <w:szCs w:val="44"/>
          <w:highlight w:val="none"/>
        </w:rPr>
      </w:pPr>
      <w:r>
        <w:rPr>
          <w:rFonts w:hint="eastAsia" w:ascii="宋体" w:hAnsi="宋体" w:cs="宋体"/>
          <w:b/>
          <w:bCs/>
          <w:i w:val="0"/>
          <w:iCs w:val="0"/>
          <w:color w:val="auto"/>
          <w:sz w:val="44"/>
          <w:szCs w:val="44"/>
          <w:highlight w:val="none"/>
        </w:rPr>
        <w:t xml:space="preserve"> </w:t>
      </w:r>
    </w:p>
    <w:p w14:paraId="6BAC2C06">
      <w:pPr>
        <w:ind w:firstLine="1205" w:firstLineChars="5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投标人：</w:t>
      </w:r>
      <w:r>
        <w:rPr>
          <w:rFonts w:hint="eastAsia" w:ascii="宋体" w:hAnsi="宋体" w:cs="宋体"/>
          <w:b/>
          <w:bCs/>
          <w:i w:val="0"/>
          <w:iCs w:val="0"/>
          <w:color w:val="auto"/>
          <w:sz w:val="24"/>
          <w:szCs w:val="24"/>
          <w:highlight w:val="none"/>
          <w:u w:val="single"/>
        </w:rPr>
        <w:tab/>
      </w:r>
      <w:r>
        <w:rPr>
          <w:rFonts w:hint="eastAsia" w:ascii="宋体" w:hAnsi="宋体" w:cs="宋体"/>
          <w:b/>
          <w:bCs/>
          <w:i w:val="0"/>
          <w:iCs w:val="0"/>
          <w:color w:val="auto"/>
          <w:sz w:val="24"/>
          <w:szCs w:val="24"/>
          <w:highlight w:val="none"/>
          <w:u w:val="single"/>
        </w:rPr>
        <w:t xml:space="preserve">                                    </w:t>
      </w:r>
      <w:r>
        <w:rPr>
          <w:rFonts w:hint="eastAsia" w:ascii="宋体" w:hAnsi="宋体" w:cs="宋体"/>
          <w:b/>
          <w:bCs/>
          <w:i w:val="0"/>
          <w:iCs w:val="0"/>
          <w:color w:val="auto"/>
          <w:sz w:val="24"/>
          <w:szCs w:val="24"/>
          <w:highlight w:val="none"/>
        </w:rPr>
        <w:t>(加盖单位公章)</w:t>
      </w:r>
    </w:p>
    <w:p w14:paraId="41851442">
      <w:pPr>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 xml:space="preserve"> </w:t>
      </w:r>
    </w:p>
    <w:p w14:paraId="47D647D8">
      <w:pPr>
        <w:ind w:firstLine="1205" w:firstLineChars="5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法定代表人(单位负责人)或其委托代理人：</w:t>
      </w:r>
      <w:r>
        <w:rPr>
          <w:rFonts w:hint="eastAsia" w:ascii="宋体" w:hAnsi="宋体" w:cs="宋体"/>
          <w:b/>
          <w:bCs/>
          <w:i w:val="0"/>
          <w:iCs w:val="0"/>
          <w:color w:val="auto"/>
          <w:sz w:val="24"/>
          <w:szCs w:val="24"/>
          <w:highlight w:val="none"/>
        </w:rPr>
        <w:tab/>
      </w:r>
      <w:r>
        <w:rPr>
          <w:rFonts w:hint="eastAsia" w:ascii="宋体" w:hAnsi="宋体" w:cs="宋体"/>
          <w:b/>
          <w:bCs/>
          <w:i w:val="0"/>
          <w:iCs w:val="0"/>
          <w:color w:val="auto"/>
          <w:sz w:val="24"/>
          <w:szCs w:val="24"/>
          <w:highlight w:val="none"/>
          <w:u w:val="single"/>
        </w:rPr>
        <w:t xml:space="preserve">         </w:t>
      </w:r>
      <w:r>
        <w:rPr>
          <w:rFonts w:hint="eastAsia" w:ascii="宋体" w:hAnsi="宋体" w:cs="宋体"/>
          <w:b/>
          <w:bCs/>
          <w:i w:val="0"/>
          <w:iCs w:val="0"/>
          <w:color w:val="auto"/>
          <w:sz w:val="24"/>
          <w:szCs w:val="24"/>
          <w:highlight w:val="none"/>
        </w:rPr>
        <w:t>(签字或盖章)</w:t>
      </w:r>
    </w:p>
    <w:p w14:paraId="74927B8C">
      <w:pPr>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 xml:space="preserve"> </w:t>
      </w:r>
    </w:p>
    <w:p w14:paraId="02254D10">
      <w:pPr>
        <w:ind w:firstLine="2891" w:firstLineChars="1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 xml:space="preserve">日期： </w:t>
      </w:r>
      <w:r>
        <w:rPr>
          <w:rFonts w:hint="eastAsia" w:ascii="宋体" w:hAnsi="宋体" w:cs="宋体"/>
          <w:b/>
          <w:bCs/>
          <w:i w:val="0"/>
          <w:iCs w:val="0"/>
          <w:color w:val="auto"/>
          <w:sz w:val="24"/>
          <w:szCs w:val="24"/>
          <w:highlight w:val="none"/>
          <w:u w:val="single"/>
        </w:rPr>
        <w:t xml:space="preserve">        </w:t>
      </w:r>
      <w:r>
        <w:rPr>
          <w:rFonts w:hint="eastAsia" w:ascii="宋体" w:hAnsi="宋体" w:cs="宋体"/>
          <w:b/>
          <w:bCs/>
          <w:i w:val="0"/>
          <w:iCs w:val="0"/>
          <w:color w:val="auto"/>
          <w:sz w:val="24"/>
          <w:szCs w:val="24"/>
          <w:highlight w:val="none"/>
        </w:rPr>
        <w:t>年</w:t>
      </w:r>
      <w:r>
        <w:rPr>
          <w:rFonts w:hint="eastAsia" w:ascii="宋体" w:hAnsi="宋体" w:cs="宋体"/>
          <w:b/>
          <w:bCs/>
          <w:i w:val="0"/>
          <w:iCs w:val="0"/>
          <w:color w:val="auto"/>
          <w:sz w:val="24"/>
          <w:szCs w:val="24"/>
          <w:highlight w:val="none"/>
          <w:u w:val="single"/>
        </w:rPr>
        <w:t xml:space="preserve">    </w:t>
      </w:r>
      <w:r>
        <w:rPr>
          <w:rFonts w:hint="eastAsia" w:ascii="宋体" w:hAnsi="宋体" w:cs="宋体"/>
          <w:b/>
          <w:bCs/>
          <w:i w:val="0"/>
          <w:iCs w:val="0"/>
          <w:color w:val="auto"/>
          <w:sz w:val="24"/>
          <w:szCs w:val="24"/>
          <w:highlight w:val="none"/>
        </w:rPr>
        <w:t>月</w:t>
      </w:r>
      <w:r>
        <w:rPr>
          <w:rFonts w:hint="eastAsia" w:ascii="宋体" w:hAnsi="宋体" w:cs="宋体"/>
          <w:b/>
          <w:bCs/>
          <w:i w:val="0"/>
          <w:iCs w:val="0"/>
          <w:color w:val="auto"/>
          <w:sz w:val="24"/>
          <w:szCs w:val="24"/>
          <w:highlight w:val="none"/>
          <w:u w:val="single"/>
        </w:rPr>
        <w:t xml:space="preserve">    </w:t>
      </w:r>
      <w:r>
        <w:rPr>
          <w:rFonts w:hint="eastAsia" w:ascii="宋体" w:hAnsi="宋体" w:cs="宋体"/>
          <w:b/>
          <w:bCs/>
          <w:i w:val="0"/>
          <w:iCs w:val="0"/>
          <w:color w:val="auto"/>
          <w:sz w:val="24"/>
          <w:szCs w:val="24"/>
          <w:highlight w:val="none"/>
        </w:rPr>
        <w:t>日</w:t>
      </w:r>
    </w:p>
    <w:p w14:paraId="28859317">
      <w:pPr>
        <w:jc w:val="center"/>
        <w:rPr>
          <w:rFonts w:hint="eastAsia"/>
          <w:b/>
          <w:bCs/>
          <w:sz w:val="28"/>
          <w:szCs w:val="28"/>
        </w:rPr>
      </w:pPr>
      <w:bookmarkStart w:id="247" w:name="_Toc7687"/>
      <w:bookmarkStart w:id="248" w:name="_Toc6914"/>
      <w:bookmarkStart w:id="249" w:name="_Toc26678"/>
      <w:r>
        <w:rPr>
          <w:rFonts w:hint="eastAsia"/>
          <w:b/>
          <w:bCs/>
          <w:sz w:val="28"/>
          <w:szCs w:val="28"/>
        </w:rPr>
        <w:t>资格审查部分</w:t>
      </w:r>
      <w:bookmarkEnd w:id="247"/>
      <w:bookmarkEnd w:id="248"/>
      <w:bookmarkEnd w:id="249"/>
    </w:p>
    <w:p w14:paraId="6BF64099">
      <w:pPr>
        <w:pStyle w:val="20"/>
        <w:ind w:left="0" w:leftChars="0" w:firstLine="480" w:firstLineChars="200"/>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满足下列情形的投标文件才能通过资格审查，未通过资格审查的投标人将不进入符合性审查：</w:t>
      </w:r>
    </w:p>
    <w:p w14:paraId="0BC65807">
      <w:pPr>
        <w:pStyle w:val="7"/>
        <w:ind w:firstLine="480" w:firstLineChars="200"/>
        <w:rPr>
          <w:rFonts w:hint="eastAsia" w:asciiTheme="minorEastAsia" w:hAnsiTheme="minorEastAsia" w:eastAsiaTheme="minorEastAsia" w:cstheme="minorEastAsia"/>
          <w:i w:val="0"/>
          <w:iCs w:val="0"/>
          <w:color w:val="auto"/>
          <w:sz w:val="24"/>
          <w:highlight w:val="none"/>
        </w:rPr>
      </w:pPr>
      <w:bookmarkStart w:id="250" w:name="_Toc3397769"/>
      <w:r>
        <w:rPr>
          <w:rFonts w:hint="eastAsia" w:asciiTheme="minorEastAsia" w:hAnsiTheme="minorEastAsia" w:eastAsiaTheme="minorEastAsia" w:cstheme="minorEastAsia"/>
          <w:i w:val="0"/>
          <w:iCs w:val="0"/>
          <w:color w:val="auto"/>
          <w:sz w:val="24"/>
          <w:highlight w:val="none"/>
          <w:lang w:val="en-US" w:eastAsia="zh-CN"/>
        </w:rPr>
        <w:t>1.投标人应具有独立承担民事责任的能力，且在中华人民共和国境内依法注册的法人或其他组织，提供合法有效的营业执照或事业单位法人证书或其他行政机关颁发可以合法开展业务的法定证明文件</w:t>
      </w:r>
      <w:r>
        <w:rPr>
          <w:rFonts w:hint="eastAsia" w:asciiTheme="minorEastAsia" w:hAnsiTheme="minorEastAsia" w:eastAsiaTheme="minorEastAsia" w:cstheme="minorEastAsia"/>
          <w:i w:val="0"/>
          <w:iCs w:val="0"/>
          <w:color w:val="auto"/>
          <w:sz w:val="24"/>
          <w:highlight w:val="none"/>
        </w:rPr>
        <w:t>。</w:t>
      </w:r>
    </w:p>
    <w:p w14:paraId="38F28069">
      <w:pPr>
        <w:pStyle w:val="7"/>
        <w:ind w:firstLine="480" w:firstLineChars="200"/>
        <w:rPr>
          <w:rFonts w:hint="eastAsia" w:asciiTheme="minorEastAsia" w:hAnsiTheme="minorEastAsia" w:eastAsiaTheme="minorEastAsia" w:cstheme="minorEastAsia"/>
          <w:i w:val="0"/>
          <w:iCs w:val="0"/>
          <w:color w:val="auto"/>
          <w:sz w:val="24"/>
          <w:highlight w:val="none"/>
        </w:rPr>
      </w:pPr>
      <w:r>
        <w:rPr>
          <w:rFonts w:hint="eastAsia" w:asciiTheme="minorEastAsia" w:hAnsiTheme="minorEastAsia" w:eastAsiaTheme="minorEastAsia" w:cstheme="minorEastAsia"/>
          <w:i w:val="0"/>
          <w:iCs w:val="0"/>
          <w:color w:val="auto"/>
          <w:sz w:val="24"/>
          <w:highlight w:val="none"/>
          <w:lang w:val="en-US" w:eastAsia="zh-CN"/>
        </w:rPr>
        <w:t>2.</w:t>
      </w:r>
      <w:r>
        <w:rPr>
          <w:rFonts w:hint="eastAsia" w:asciiTheme="minorEastAsia" w:hAnsiTheme="minorEastAsia" w:eastAsiaTheme="minorEastAsia" w:cstheme="minorEastAsia"/>
          <w:i w:val="0"/>
          <w:iCs w:val="0"/>
          <w:color w:val="auto"/>
          <w:sz w:val="24"/>
          <w:highlight w:val="none"/>
        </w:rPr>
        <w:t>投标人应具有良好的商业信誉和健全的财务会计制度，提供</w:t>
      </w:r>
      <w:r>
        <w:rPr>
          <w:rFonts w:hint="eastAsia" w:asciiTheme="minorEastAsia" w:hAnsiTheme="minorEastAsia" w:eastAsiaTheme="minorEastAsia" w:cstheme="minorEastAsia"/>
          <w:i w:val="0"/>
          <w:iCs w:val="0"/>
          <w:color w:val="auto"/>
          <w:sz w:val="24"/>
          <w:highlight w:val="none"/>
          <w:lang w:val="en-US" w:eastAsia="zh-CN"/>
        </w:rPr>
        <w:t>2023年度或2024年</w:t>
      </w:r>
      <w:r>
        <w:rPr>
          <w:rFonts w:hint="eastAsia" w:asciiTheme="minorEastAsia" w:hAnsiTheme="minorEastAsia" w:eastAsiaTheme="minorEastAsia" w:cstheme="minorEastAsia"/>
          <w:i w:val="0"/>
          <w:iCs w:val="0"/>
          <w:color w:val="auto"/>
          <w:sz w:val="24"/>
          <w:highlight w:val="none"/>
        </w:rPr>
        <w:t>度经第三方审计的审计报告及财务报表（包括资产负债表、损益表或利润表、现金流量表，复印件或扫描件），新成立的，提供自行编制的财务报表（包括资产负债表、损益表或利润表、现金流量表）。</w:t>
      </w:r>
    </w:p>
    <w:p w14:paraId="039B5ABD">
      <w:pPr>
        <w:pStyle w:val="7"/>
        <w:ind w:firstLine="480" w:firstLineChars="200"/>
        <w:rPr>
          <w:rFonts w:hint="eastAsia" w:asciiTheme="minorEastAsia" w:hAnsiTheme="minorEastAsia" w:eastAsiaTheme="minorEastAsia" w:cstheme="minorEastAsia"/>
          <w:i w:val="0"/>
          <w:iCs w:val="0"/>
          <w:color w:val="auto"/>
          <w:sz w:val="24"/>
          <w:highlight w:val="none"/>
        </w:rPr>
      </w:pPr>
      <w:r>
        <w:rPr>
          <w:rFonts w:hint="eastAsia" w:asciiTheme="minorEastAsia" w:hAnsiTheme="minorEastAsia" w:eastAsiaTheme="minorEastAsia" w:cstheme="minorEastAsia"/>
          <w:i w:val="0"/>
          <w:iCs w:val="0"/>
          <w:color w:val="auto"/>
          <w:sz w:val="24"/>
          <w:highlight w:val="none"/>
          <w:lang w:val="en-US" w:eastAsia="zh-CN"/>
        </w:rPr>
        <w:t>3.</w:t>
      </w:r>
      <w:r>
        <w:rPr>
          <w:rFonts w:hint="eastAsia" w:asciiTheme="minorEastAsia" w:hAnsiTheme="minorEastAsia" w:eastAsiaTheme="minorEastAsia" w:cstheme="minorEastAsia"/>
          <w:i w:val="0"/>
          <w:iCs w:val="0"/>
          <w:color w:val="auto"/>
          <w:sz w:val="24"/>
          <w:highlight w:val="none"/>
        </w:rPr>
        <w:t>具有依法缴纳税收和社会保障资金的良好记录，提供</w:t>
      </w:r>
      <w:r>
        <w:rPr>
          <w:rFonts w:hint="eastAsia" w:asciiTheme="minorEastAsia" w:hAnsiTheme="minorEastAsia" w:eastAsiaTheme="minorEastAsia" w:cstheme="minorEastAsia"/>
          <w:i w:val="0"/>
          <w:iCs w:val="0"/>
          <w:color w:val="auto"/>
          <w:sz w:val="24"/>
          <w:highlight w:val="none"/>
          <w:lang w:eastAsia="zh-CN"/>
        </w:rPr>
        <w:t>202</w:t>
      </w:r>
      <w:r>
        <w:rPr>
          <w:rFonts w:hint="eastAsia" w:asciiTheme="minorEastAsia" w:hAnsiTheme="minorEastAsia" w:eastAsiaTheme="minorEastAsia" w:cstheme="minorEastAsia"/>
          <w:i w:val="0"/>
          <w:iCs w:val="0"/>
          <w:color w:val="auto"/>
          <w:sz w:val="24"/>
          <w:highlight w:val="none"/>
          <w:lang w:val="en-US" w:eastAsia="zh-CN"/>
        </w:rPr>
        <w:t>5</w:t>
      </w:r>
      <w:r>
        <w:rPr>
          <w:rFonts w:hint="eastAsia" w:asciiTheme="minorEastAsia" w:hAnsiTheme="minorEastAsia" w:eastAsiaTheme="minorEastAsia" w:cstheme="minorEastAsia"/>
          <w:i w:val="0"/>
          <w:iCs w:val="0"/>
          <w:color w:val="auto"/>
          <w:sz w:val="24"/>
          <w:highlight w:val="none"/>
          <w:lang w:eastAsia="zh-CN"/>
        </w:rPr>
        <w:t>年1月至今</w:t>
      </w:r>
      <w:r>
        <w:rPr>
          <w:rFonts w:hint="eastAsia" w:asciiTheme="minorEastAsia" w:hAnsiTheme="minorEastAsia" w:eastAsiaTheme="minorEastAsia" w:cstheme="minorEastAsia"/>
          <w:i w:val="0"/>
          <w:iCs w:val="0"/>
          <w:color w:val="auto"/>
          <w:sz w:val="24"/>
          <w:highlight w:val="none"/>
        </w:rPr>
        <w:t>任意3个月依法缴纳税收和缴纳社会保障资金的证明材料(复印件或扫描件加盖公章，成立未满3个月的提供成立以来的税收和社会保障资金缴纳凭证或相关情况说明；依法免税或不需要缴纳社会保障资金的投标人，应提供相应文件证明其依法免税或不需要缴纳社会保障资金)。</w:t>
      </w:r>
    </w:p>
    <w:p w14:paraId="5C6B3EA2">
      <w:pPr>
        <w:pStyle w:val="7"/>
        <w:widowControl w:val="0"/>
        <w:ind w:firstLine="480" w:firstLineChars="200"/>
        <w:jc w:val="both"/>
        <w:rPr>
          <w:rFonts w:hint="eastAsia" w:asciiTheme="minorEastAsia" w:hAnsiTheme="minorEastAsia" w:eastAsiaTheme="minorEastAsia" w:cstheme="minorEastAsia"/>
          <w:i w:val="0"/>
          <w:iCs w:val="0"/>
          <w:color w:val="auto"/>
          <w:sz w:val="24"/>
          <w:highlight w:val="none"/>
        </w:rPr>
      </w:pPr>
      <w:r>
        <w:rPr>
          <w:rFonts w:hint="eastAsia" w:asciiTheme="minorEastAsia" w:hAnsiTheme="minorEastAsia" w:eastAsiaTheme="minorEastAsia" w:cstheme="minorEastAsia"/>
          <w:i w:val="0"/>
          <w:iCs w:val="0"/>
          <w:color w:val="auto"/>
          <w:sz w:val="24"/>
          <w:highlight w:val="none"/>
          <w:lang w:val="en-US" w:eastAsia="zh-CN"/>
        </w:rPr>
        <w:t>4.</w:t>
      </w:r>
      <w:r>
        <w:rPr>
          <w:rFonts w:hint="eastAsia" w:asciiTheme="minorEastAsia" w:hAnsiTheme="minorEastAsia" w:eastAsiaTheme="minorEastAsia" w:cstheme="minorEastAsia"/>
          <w:i w:val="0"/>
          <w:iCs w:val="0"/>
          <w:color w:val="auto"/>
          <w:sz w:val="24"/>
          <w:highlight w:val="none"/>
        </w:rPr>
        <w:t>信誉要求：</w:t>
      </w:r>
    </w:p>
    <w:p w14:paraId="22290AE4">
      <w:pPr>
        <w:pStyle w:val="7"/>
        <w:widowControl w:val="0"/>
        <w:ind w:firstLine="480" w:firstLineChars="200"/>
        <w:jc w:val="both"/>
        <w:rPr>
          <w:rFonts w:hint="eastAsia" w:asciiTheme="minorEastAsia" w:hAnsiTheme="minorEastAsia" w:eastAsiaTheme="minorEastAsia" w:cstheme="minorEastAsia"/>
          <w:i w:val="0"/>
          <w:iCs w:val="0"/>
          <w:color w:val="auto"/>
          <w:sz w:val="24"/>
          <w:highlight w:val="none"/>
        </w:rPr>
      </w:pPr>
      <w:r>
        <w:rPr>
          <w:rFonts w:hint="eastAsia" w:asciiTheme="minorEastAsia" w:hAnsiTheme="minorEastAsia" w:eastAsiaTheme="minorEastAsia" w:cstheme="minorEastAsia"/>
          <w:i w:val="0"/>
          <w:iCs w:val="0"/>
          <w:color w:val="auto"/>
          <w:sz w:val="24"/>
          <w:highlight w:val="none"/>
        </w:rPr>
        <w:t>（1）投标人未被列入“信用中国”网站(www.creditchina.gov.cn) “严重失信主体名单”“拖欠农民工工资失信联合惩戒对象名单”、 “重大税收违法失信主体”、“政府采购严重违法失信行为记录名单”。</w:t>
      </w:r>
    </w:p>
    <w:p w14:paraId="124E2311">
      <w:pPr>
        <w:pStyle w:val="7"/>
        <w:widowControl w:val="0"/>
        <w:ind w:firstLine="480" w:firstLineChars="200"/>
        <w:jc w:val="both"/>
        <w:rPr>
          <w:rFonts w:hint="eastAsia" w:asciiTheme="minorEastAsia" w:hAnsiTheme="minorEastAsia" w:eastAsiaTheme="minorEastAsia" w:cstheme="minorEastAsia"/>
          <w:i w:val="0"/>
          <w:iCs w:val="0"/>
          <w:color w:val="auto"/>
          <w:sz w:val="24"/>
          <w:highlight w:val="none"/>
        </w:rPr>
      </w:pPr>
      <w:r>
        <w:rPr>
          <w:rFonts w:hint="eastAsia" w:asciiTheme="minorEastAsia" w:hAnsiTheme="minorEastAsia" w:eastAsiaTheme="minorEastAsia" w:cstheme="minorEastAsia"/>
          <w:i w:val="0"/>
          <w:iCs w:val="0"/>
          <w:color w:val="auto"/>
          <w:sz w:val="24"/>
          <w:highlight w:val="none"/>
        </w:rPr>
        <w:t>（2）投标人未被列入中国执行信息公开网（http://zxgk.court.gov.cn/）“失信被执行人名单”。（注：上述两项由</w:t>
      </w:r>
      <w:r>
        <w:rPr>
          <w:rFonts w:hint="eastAsia" w:asciiTheme="minorEastAsia" w:hAnsiTheme="minorEastAsia" w:eastAsiaTheme="minorEastAsia" w:cstheme="minorEastAsia"/>
          <w:i w:val="0"/>
          <w:iCs w:val="0"/>
          <w:color w:val="auto"/>
          <w:sz w:val="24"/>
          <w:highlight w:val="none"/>
          <w:lang w:eastAsia="zh-CN"/>
        </w:rPr>
        <w:t>采购人</w:t>
      </w:r>
      <w:r>
        <w:rPr>
          <w:rFonts w:hint="eastAsia" w:asciiTheme="minorEastAsia" w:hAnsiTheme="minorEastAsia" w:eastAsiaTheme="minorEastAsia" w:cstheme="minorEastAsia"/>
          <w:i w:val="0"/>
          <w:iCs w:val="0"/>
          <w:color w:val="auto"/>
          <w:sz w:val="24"/>
          <w:highlight w:val="none"/>
        </w:rPr>
        <w:t>在开标当天登录相关网站查询并截图，交予评标委员会评审。）；</w:t>
      </w:r>
    </w:p>
    <w:p w14:paraId="6606C4B9">
      <w:pPr>
        <w:pStyle w:val="7"/>
        <w:widowControl w:val="0"/>
        <w:ind w:firstLine="480" w:firstLineChars="200"/>
        <w:jc w:val="both"/>
        <w:rPr>
          <w:rFonts w:hint="eastAsia" w:asciiTheme="minorEastAsia" w:hAnsiTheme="minorEastAsia" w:eastAsiaTheme="minorEastAsia" w:cstheme="minorEastAsia"/>
          <w:i w:val="0"/>
          <w:iCs w:val="0"/>
          <w:color w:val="auto"/>
          <w:sz w:val="24"/>
          <w:highlight w:val="none"/>
        </w:rPr>
      </w:pPr>
      <w:r>
        <w:rPr>
          <w:rFonts w:hint="eastAsia" w:asciiTheme="minorEastAsia" w:hAnsiTheme="minorEastAsia" w:eastAsiaTheme="minorEastAsia" w:cstheme="minorEastAsia"/>
          <w:i w:val="0"/>
          <w:iCs w:val="0"/>
          <w:color w:val="auto"/>
          <w:sz w:val="24"/>
          <w:highlight w:val="none"/>
          <w:lang w:val="en-US" w:eastAsia="zh-CN"/>
        </w:rPr>
        <w:t>5.</w:t>
      </w:r>
      <w:r>
        <w:rPr>
          <w:rFonts w:hint="eastAsia" w:asciiTheme="minorEastAsia" w:hAnsiTheme="minorEastAsia" w:eastAsiaTheme="minorEastAsia" w:cstheme="minorEastAsia"/>
          <w:i w:val="0"/>
          <w:iCs w:val="0"/>
          <w:color w:val="auto"/>
          <w:sz w:val="24"/>
          <w:highlight w:val="none"/>
        </w:rPr>
        <w:t>本次采购不接受联合体投标，且不得以任何形式转包、分包。</w:t>
      </w:r>
    </w:p>
    <w:p w14:paraId="0C64D591">
      <w:pPr>
        <w:pStyle w:val="7"/>
        <w:widowControl w:val="0"/>
        <w:ind w:firstLine="480" w:firstLineChars="200"/>
        <w:jc w:val="both"/>
        <w:rPr>
          <w:rFonts w:hint="eastAsia" w:asciiTheme="minorEastAsia" w:hAnsiTheme="minorEastAsia" w:eastAsiaTheme="minorEastAsia" w:cstheme="minorEastAsia"/>
          <w:i w:val="0"/>
          <w:iCs w:val="0"/>
          <w:color w:val="auto"/>
          <w:sz w:val="24"/>
          <w:highlight w:val="none"/>
        </w:rPr>
      </w:pPr>
      <w:r>
        <w:rPr>
          <w:rFonts w:hint="eastAsia" w:asciiTheme="minorEastAsia" w:hAnsiTheme="minorEastAsia" w:eastAsiaTheme="minorEastAsia" w:cstheme="minorEastAsia"/>
          <w:i w:val="0"/>
          <w:iCs w:val="0"/>
          <w:color w:val="auto"/>
          <w:sz w:val="24"/>
          <w:highlight w:val="none"/>
          <w:lang w:val="en-US" w:eastAsia="zh-CN"/>
        </w:rPr>
        <w:t>6.</w:t>
      </w:r>
      <w:r>
        <w:rPr>
          <w:rFonts w:hint="eastAsia" w:asciiTheme="minorEastAsia" w:hAnsiTheme="minorEastAsia" w:eastAsiaTheme="minorEastAsia" w:cstheme="minorEastAsia"/>
          <w:i w:val="0"/>
          <w:iCs w:val="0"/>
          <w:color w:val="auto"/>
          <w:sz w:val="24"/>
          <w:highlight w:val="none"/>
        </w:rPr>
        <w:t>单位负责人为同一人或者存在控股、管理关系的不同投标人，不得参加同一合同项下的投标活动。</w:t>
      </w:r>
    </w:p>
    <w:p w14:paraId="087CA0FD">
      <w:pPr>
        <w:pStyle w:val="7"/>
        <w:spacing w:line="360" w:lineRule="auto"/>
        <w:ind w:firstLine="480" w:firstLineChars="200"/>
        <w:rPr>
          <w:rFonts w:hint="eastAsia" w:ascii="宋体" w:hAnsi="宋体" w:cs="宋体"/>
          <w:i w:val="0"/>
          <w:iCs w:val="0"/>
          <w:color w:val="auto"/>
          <w:sz w:val="24"/>
          <w:highlight w:val="none"/>
          <w:lang w:val="en-US" w:eastAsia="zh-CN"/>
        </w:rPr>
      </w:pPr>
      <w:r>
        <w:rPr>
          <w:rFonts w:hint="eastAsia" w:asciiTheme="minorEastAsia" w:hAnsiTheme="minorEastAsia" w:eastAsiaTheme="minorEastAsia" w:cstheme="minorEastAsia"/>
          <w:i w:val="0"/>
          <w:iCs w:val="0"/>
          <w:color w:val="auto"/>
          <w:sz w:val="24"/>
          <w:highlight w:val="none"/>
          <w:lang w:val="en-US" w:eastAsia="zh-CN"/>
        </w:rPr>
        <w:t>7.其他资格要求：</w:t>
      </w:r>
      <w:r>
        <w:rPr>
          <w:rFonts w:hint="eastAsia" w:ascii="宋体" w:hAnsi="宋体" w:cs="宋体"/>
          <w:i w:val="0"/>
          <w:iCs w:val="0"/>
          <w:color w:val="auto"/>
          <w:sz w:val="24"/>
          <w:highlight w:val="none"/>
          <w:lang w:val="en-US" w:eastAsia="zh-CN"/>
        </w:rPr>
        <w:t>投标人如果是代理商或经销商，须提供医疗器械经营许可证/备案、所投产品制造商医疗器械生产许可证（制造商工商注册地在中华人民共和国境外的，不做此要求）、所投产品的医疗器械注册证及附件；投标人如果是制造商，须提供医疗器械生产许可证（制造商工商注册地在中华人民共和国境外的，不做此要求）、所投产品的医疗器械注册证及附件。医疗器械生产或经营许可证生产或经营范围须覆盖所投第二、三类医疗器械（扫描件加盖电子公章。根据中华人民共和国国务院令第739号《医疗器械监督管理条例》和国家药品监督管理局《医疗器械分类目录》的规定，在《医疗器械分类目录》内的产品必须按照《医疗器械监督管理条例》的要求提供，其他不在《医疗器械分类目录》内的不作强行要求）。（提供复印件加盖公章）。</w:t>
      </w:r>
    </w:p>
    <w:bookmarkEnd w:id="250"/>
    <w:p w14:paraId="38F6F10C">
      <w:pPr>
        <w:bidi w:val="0"/>
        <w:jc w:val="center"/>
        <w:rPr>
          <w:rFonts w:hint="eastAsia"/>
          <w:b/>
          <w:bCs/>
          <w:sz w:val="28"/>
          <w:szCs w:val="28"/>
        </w:rPr>
      </w:pPr>
      <w:bookmarkStart w:id="251" w:name="_Toc21906"/>
      <w:bookmarkStart w:id="252" w:name="_Toc25996"/>
    </w:p>
    <w:p w14:paraId="75ED22FF">
      <w:pPr>
        <w:bidi w:val="0"/>
        <w:jc w:val="center"/>
        <w:rPr>
          <w:rFonts w:hint="eastAsia"/>
          <w:b/>
          <w:bCs/>
          <w:sz w:val="28"/>
          <w:szCs w:val="28"/>
        </w:rPr>
      </w:pPr>
    </w:p>
    <w:p w14:paraId="3E10DB8D">
      <w:pPr>
        <w:bidi w:val="0"/>
        <w:jc w:val="center"/>
        <w:rPr>
          <w:b/>
          <w:bCs/>
          <w:sz w:val="28"/>
          <w:szCs w:val="28"/>
        </w:rPr>
      </w:pPr>
      <w:r>
        <w:rPr>
          <w:rFonts w:hint="eastAsia"/>
          <w:b/>
          <w:bCs/>
          <w:sz w:val="28"/>
          <w:szCs w:val="28"/>
        </w:rPr>
        <w:t>商务技术部分</w:t>
      </w:r>
      <w:bookmarkEnd w:id="251"/>
      <w:bookmarkEnd w:id="252"/>
    </w:p>
    <w:p w14:paraId="7DF27F2A">
      <w:pPr>
        <w:rPr>
          <w:rFonts w:ascii="宋体" w:hAnsi="宋体" w:cs="宋体"/>
          <w:b/>
          <w:bCs/>
          <w:i w:val="0"/>
          <w:iCs w:val="0"/>
          <w:color w:val="auto"/>
          <w:sz w:val="44"/>
          <w:szCs w:val="44"/>
          <w:highlight w:val="none"/>
        </w:rPr>
      </w:pPr>
      <w:r>
        <w:rPr>
          <w:rFonts w:hint="eastAsia" w:ascii="宋体" w:hAnsi="宋体" w:cs="宋体"/>
          <w:b/>
          <w:bCs/>
          <w:i w:val="0"/>
          <w:iCs w:val="0"/>
          <w:color w:val="auto"/>
          <w:sz w:val="44"/>
          <w:szCs w:val="44"/>
          <w:highlight w:val="none"/>
        </w:rPr>
        <w:t xml:space="preserve"> </w:t>
      </w:r>
    </w:p>
    <w:p w14:paraId="19A1ED23">
      <w:pPr>
        <w:autoSpaceDE w:val="0"/>
        <w:spacing w:line="360" w:lineRule="auto"/>
        <w:rPr>
          <w:rFonts w:hint="eastAsia"/>
          <w:b/>
          <w:bCs/>
          <w:sz w:val="28"/>
          <w:szCs w:val="28"/>
        </w:rPr>
      </w:pPr>
      <w:bookmarkStart w:id="253" w:name="_Toc10984"/>
      <w:bookmarkEnd w:id="253"/>
      <w:bookmarkStart w:id="254" w:name="_Toc19562"/>
      <w:bookmarkStart w:id="255" w:name="_Toc1245"/>
      <w:bookmarkStart w:id="256" w:name="_Toc7932"/>
      <w:r>
        <w:rPr>
          <w:rFonts w:hint="eastAsia" w:ascii="黑体" w:hAnsi="黑体" w:eastAsia="黑体" w:cs="黑体"/>
          <w:b/>
          <w:bCs/>
          <w:i w:val="0"/>
          <w:iCs w:val="0"/>
          <w:color w:val="auto"/>
          <w:sz w:val="28"/>
          <w:szCs w:val="28"/>
          <w:highlight w:val="none"/>
        </w:rPr>
        <w:t>格式1：</w:t>
      </w:r>
      <w:bookmarkEnd w:id="254"/>
      <w:bookmarkEnd w:id="255"/>
      <w:bookmarkEnd w:id="256"/>
      <w:bookmarkStart w:id="257" w:name="_Toc28459"/>
      <w:bookmarkEnd w:id="257"/>
      <w:bookmarkStart w:id="258" w:name="_Toc15981"/>
      <w:bookmarkEnd w:id="258"/>
      <w:bookmarkStart w:id="259" w:name="_Toc2786"/>
      <w:bookmarkEnd w:id="259"/>
      <w:bookmarkStart w:id="260" w:name="_Toc7169"/>
      <w:bookmarkStart w:id="261" w:name="_Toc6906"/>
      <w:bookmarkStart w:id="262" w:name="_Toc5263"/>
    </w:p>
    <w:p w14:paraId="558FE68B">
      <w:pPr>
        <w:bidi w:val="0"/>
        <w:jc w:val="center"/>
        <w:rPr>
          <w:rFonts w:hint="eastAsia"/>
          <w:b/>
          <w:bCs/>
          <w:sz w:val="28"/>
          <w:szCs w:val="28"/>
        </w:rPr>
      </w:pPr>
      <w:r>
        <w:rPr>
          <w:rFonts w:hint="eastAsia"/>
          <w:b/>
          <w:bCs/>
          <w:sz w:val="28"/>
          <w:szCs w:val="28"/>
        </w:rPr>
        <w:t>开标一览表</w:t>
      </w:r>
      <w:bookmarkEnd w:id="260"/>
      <w:bookmarkEnd w:id="261"/>
      <w:bookmarkEnd w:id="262"/>
    </w:p>
    <w:p w14:paraId="4DB12B39">
      <w:pPr>
        <w:rPr>
          <w:rFonts w:ascii="宋体" w:hAnsi="宋体" w:cs="宋体"/>
          <w:i w:val="0"/>
          <w:iCs w:val="0"/>
          <w:color w:val="auto"/>
          <w:highlight w:val="none"/>
        </w:rPr>
      </w:pPr>
      <w:r>
        <w:rPr>
          <w:rFonts w:hint="eastAsia" w:ascii="宋体" w:hAnsi="宋体" w:cs="宋体"/>
          <w:i w:val="0"/>
          <w:iCs w:val="0"/>
          <w:color w:val="auto"/>
          <w:highlight w:val="none"/>
        </w:rPr>
        <w:t xml:space="preserve"> </w:t>
      </w:r>
    </w:p>
    <w:p w14:paraId="6FEF05B2">
      <w:pPr>
        <w:spacing w:line="480" w:lineRule="exact"/>
        <w:ind w:left="1200" w:hanging="1200" w:hangingChars="500"/>
        <w:rPr>
          <w:rFonts w:ascii="宋体" w:hAnsi="宋体" w:cs="宋体"/>
          <w:i w:val="0"/>
          <w:iCs w:val="0"/>
          <w:color w:val="auto"/>
          <w:sz w:val="24"/>
          <w:szCs w:val="24"/>
          <w:highlight w:val="none"/>
          <w:u w:val="single"/>
        </w:rPr>
      </w:pPr>
      <w:r>
        <w:rPr>
          <w:rFonts w:hint="eastAsia" w:ascii="宋体" w:hAnsi="宋体" w:cs="宋体"/>
          <w:i w:val="0"/>
          <w:iCs w:val="0"/>
          <w:color w:val="auto"/>
          <w:sz w:val="24"/>
          <w:szCs w:val="24"/>
          <w:highlight w:val="none"/>
        </w:rPr>
        <w:t>项目名称：</w:t>
      </w:r>
      <w:r>
        <w:rPr>
          <w:rFonts w:hint="eastAsia" w:ascii="宋体" w:hAnsi="宋体" w:cs="宋体"/>
          <w:i w:val="0"/>
          <w:iCs w:val="0"/>
          <w:color w:val="auto"/>
          <w:sz w:val="24"/>
          <w:szCs w:val="24"/>
          <w:highlight w:val="none"/>
          <w:u w:val="single"/>
        </w:rPr>
        <w:t xml:space="preserve">                                                </w:t>
      </w:r>
    </w:p>
    <w:tbl>
      <w:tblPr>
        <w:tblStyle w:val="47"/>
        <w:tblW w:w="4998" w:type="pct"/>
        <w:jc w:val="center"/>
        <w:tblLayout w:type="autofit"/>
        <w:tblCellMar>
          <w:top w:w="0" w:type="dxa"/>
          <w:left w:w="108" w:type="dxa"/>
          <w:bottom w:w="0" w:type="dxa"/>
          <w:right w:w="108" w:type="dxa"/>
        </w:tblCellMar>
      </w:tblPr>
      <w:tblGrid>
        <w:gridCol w:w="1574"/>
        <w:gridCol w:w="1737"/>
        <w:gridCol w:w="1737"/>
        <w:gridCol w:w="1853"/>
        <w:gridCol w:w="1144"/>
        <w:gridCol w:w="1465"/>
      </w:tblGrid>
      <w:tr w14:paraId="6812F495">
        <w:trPr>
          <w:cantSplit/>
          <w:trHeight w:val="431" w:hRule="atLeast"/>
          <w:jc w:val="center"/>
        </w:trPr>
        <w:tc>
          <w:tcPr>
            <w:tcW w:w="827" w:type="pct"/>
            <w:vMerge w:val="restart"/>
            <w:tcBorders>
              <w:top w:val="single" w:color="auto" w:sz="4" w:space="0"/>
              <w:left w:val="single" w:color="auto" w:sz="4" w:space="0"/>
              <w:bottom w:val="single" w:color="auto" w:sz="4" w:space="0"/>
              <w:right w:val="single" w:color="auto" w:sz="4" w:space="0"/>
            </w:tcBorders>
            <w:vAlign w:val="center"/>
          </w:tcPr>
          <w:p w14:paraId="56F87169">
            <w:pPr>
              <w:adjustRightInd w:val="0"/>
              <w:snapToGrid w:val="0"/>
              <w:spacing w:line="440" w:lineRule="exact"/>
              <w:jc w:val="center"/>
              <w:rPr>
                <w:rFonts w:ascii="宋体" w:hAnsi="宋体" w:cs="宋体"/>
                <w:b/>
                <w:bCs/>
                <w:i w:val="0"/>
                <w:iCs w:val="0"/>
                <w:color w:val="auto"/>
                <w:kern w:val="2"/>
                <w:sz w:val="24"/>
                <w:szCs w:val="24"/>
                <w:highlight w:val="none"/>
              </w:rPr>
            </w:pPr>
            <w:r>
              <w:rPr>
                <w:rFonts w:hint="eastAsia" w:ascii="宋体" w:hAnsi="宋体" w:cs="宋体"/>
                <w:b/>
                <w:bCs/>
                <w:i w:val="0"/>
                <w:iCs w:val="0"/>
                <w:color w:val="auto"/>
                <w:kern w:val="2"/>
                <w:sz w:val="24"/>
                <w:szCs w:val="24"/>
                <w:highlight w:val="none"/>
              </w:rPr>
              <w:t>投标人</w:t>
            </w:r>
          </w:p>
        </w:tc>
        <w:tc>
          <w:tcPr>
            <w:tcW w:w="913" w:type="pct"/>
            <w:vMerge w:val="restart"/>
            <w:tcBorders>
              <w:top w:val="single" w:color="auto" w:sz="4" w:space="0"/>
              <w:left w:val="nil"/>
              <w:right w:val="single" w:color="auto" w:sz="4" w:space="0"/>
            </w:tcBorders>
            <w:vAlign w:val="center"/>
          </w:tcPr>
          <w:p w14:paraId="1258CC4B">
            <w:pPr>
              <w:adjustRightInd w:val="0"/>
              <w:snapToGrid w:val="0"/>
              <w:spacing w:line="440" w:lineRule="exact"/>
              <w:jc w:val="center"/>
              <w:rPr>
                <w:rFonts w:ascii="宋体" w:hAnsi="宋体" w:cs="宋体"/>
                <w:b/>
                <w:bCs/>
                <w:i w:val="0"/>
                <w:iCs w:val="0"/>
                <w:color w:val="auto"/>
                <w:kern w:val="2"/>
                <w:sz w:val="24"/>
                <w:szCs w:val="24"/>
                <w:highlight w:val="none"/>
              </w:rPr>
            </w:pPr>
            <w:r>
              <w:rPr>
                <w:rFonts w:hint="eastAsia" w:ascii="宋体" w:hAnsi="宋体" w:cs="宋体"/>
                <w:b/>
                <w:bCs/>
                <w:i w:val="0"/>
                <w:iCs w:val="0"/>
                <w:color w:val="auto"/>
                <w:kern w:val="2"/>
                <w:sz w:val="24"/>
                <w:szCs w:val="24"/>
                <w:highlight w:val="none"/>
              </w:rPr>
              <w:t>投标报价（含税）</w:t>
            </w:r>
          </w:p>
        </w:tc>
        <w:tc>
          <w:tcPr>
            <w:tcW w:w="913" w:type="pct"/>
            <w:vMerge w:val="restart"/>
            <w:tcBorders>
              <w:top w:val="single" w:color="auto" w:sz="4" w:space="0"/>
              <w:left w:val="nil"/>
              <w:right w:val="single" w:color="auto" w:sz="4" w:space="0"/>
            </w:tcBorders>
            <w:vAlign w:val="center"/>
          </w:tcPr>
          <w:p w14:paraId="28706880">
            <w:pPr>
              <w:adjustRightInd w:val="0"/>
              <w:snapToGrid w:val="0"/>
              <w:spacing w:line="440" w:lineRule="exact"/>
              <w:jc w:val="center"/>
              <w:rPr>
                <w:rFonts w:ascii="宋体" w:hAnsi="宋体" w:cs="宋体"/>
                <w:b/>
                <w:bCs/>
                <w:i w:val="0"/>
                <w:iCs w:val="0"/>
                <w:color w:val="auto"/>
                <w:kern w:val="2"/>
                <w:sz w:val="24"/>
                <w:szCs w:val="24"/>
                <w:highlight w:val="none"/>
              </w:rPr>
            </w:pPr>
            <w:r>
              <w:rPr>
                <w:rFonts w:hint="eastAsia" w:ascii="宋体" w:hAnsi="宋体" w:cs="宋体"/>
                <w:b/>
                <w:bCs/>
                <w:i w:val="0"/>
                <w:iCs w:val="0"/>
                <w:color w:val="auto"/>
                <w:kern w:val="2"/>
                <w:sz w:val="24"/>
                <w:szCs w:val="24"/>
                <w:highlight w:val="none"/>
              </w:rPr>
              <w:t>税率</w:t>
            </w:r>
          </w:p>
        </w:tc>
        <w:tc>
          <w:tcPr>
            <w:tcW w:w="974" w:type="pct"/>
            <w:vMerge w:val="restart"/>
            <w:tcBorders>
              <w:top w:val="single" w:color="auto" w:sz="4" w:space="0"/>
              <w:left w:val="nil"/>
              <w:bottom w:val="single" w:color="auto" w:sz="4" w:space="0"/>
              <w:right w:val="single" w:color="auto" w:sz="4" w:space="0"/>
            </w:tcBorders>
            <w:vAlign w:val="center"/>
          </w:tcPr>
          <w:p w14:paraId="775AC793">
            <w:pPr>
              <w:adjustRightInd w:val="0"/>
              <w:snapToGrid w:val="0"/>
              <w:spacing w:line="440" w:lineRule="exact"/>
              <w:jc w:val="center"/>
              <w:rPr>
                <w:rFonts w:hint="eastAsia" w:ascii="宋体" w:hAnsi="宋体" w:eastAsia="宋体" w:cs="宋体"/>
                <w:b/>
                <w:bCs/>
                <w:i w:val="0"/>
                <w:iCs w:val="0"/>
                <w:color w:val="auto"/>
                <w:kern w:val="2"/>
                <w:sz w:val="24"/>
                <w:szCs w:val="24"/>
                <w:highlight w:val="none"/>
                <w:lang w:eastAsia="zh-CN"/>
              </w:rPr>
            </w:pPr>
            <w:r>
              <w:rPr>
                <w:rFonts w:hint="eastAsia" w:ascii="宋体" w:hAnsi="宋体" w:cs="宋体"/>
                <w:b/>
                <w:bCs/>
                <w:i w:val="0"/>
                <w:iCs w:val="0"/>
                <w:color w:val="auto"/>
                <w:kern w:val="2"/>
                <w:sz w:val="24"/>
                <w:szCs w:val="24"/>
                <w:highlight w:val="none"/>
                <w:lang w:eastAsia="zh-CN"/>
              </w:rPr>
              <w:t>交货地点</w:t>
            </w:r>
          </w:p>
        </w:tc>
        <w:tc>
          <w:tcPr>
            <w:tcW w:w="1371" w:type="pct"/>
            <w:gridSpan w:val="2"/>
            <w:tcBorders>
              <w:top w:val="single" w:color="auto" w:sz="4" w:space="0"/>
              <w:left w:val="nil"/>
              <w:bottom w:val="single" w:color="auto" w:sz="4" w:space="0"/>
              <w:right w:val="single" w:color="auto" w:sz="4" w:space="0"/>
            </w:tcBorders>
            <w:vAlign w:val="center"/>
          </w:tcPr>
          <w:p w14:paraId="15DC6842">
            <w:pPr>
              <w:adjustRightInd w:val="0"/>
              <w:snapToGrid w:val="0"/>
              <w:spacing w:line="440" w:lineRule="exact"/>
              <w:jc w:val="center"/>
              <w:rPr>
                <w:rFonts w:ascii="宋体" w:hAnsi="宋体" w:cs="宋体"/>
                <w:b/>
                <w:bCs/>
                <w:i w:val="0"/>
                <w:iCs w:val="0"/>
                <w:color w:val="auto"/>
                <w:kern w:val="2"/>
                <w:sz w:val="24"/>
                <w:szCs w:val="24"/>
                <w:highlight w:val="none"/>
              </w:rPr>
            </w:pPr>
            <w:r>
              <w:rPr>
                <w:rFonts w:hint="eastAsia" w:ascii="宋体" w:hAnsi="宋体" w:cs="宋体"/>
                <w:b/>
                <w:bCs/>
                <w:i w:val="0"/>
                <w:iCs w:val="0"/>
                <w:color w:val="auto"/>
                <w:kern w:val="2"/>
                <w:sz w:val="24"/>
                <w:szCs w:val="24"/>
                <w:highlight w:val="none"/>
              </w:rPr>
              <w:t>投标保证金</w:t>
            </w:r>
          </w:p>
        </w:tc>
      </w:tr>
      <w:tr w14:paraId="69A22621">
        <w:tblPrEx>
          <w:tblCellMar>
            <w:top w:w="0" w:type="dxa"/>
            <w:left w:w="108" w:type="dxa"/>
            <w:bottom w:w="0" w:type="dxa"/>
            <w:right w:w="108" w:type="dxa"/>
          </w:tblCellMar>
        </w:tblPrEx>
        <w:trPr>
          <w:cantSplit/>
          <w:trHeight w:val="603" w:hRule="atLeast"/>
          <w:jc w:val="center"/>
        </w:trPr>
        <w:tc>
          <w:tcPr>
            <w:tcW w:w="827" w:type="pct"/>
            <w:vMerge w:val="continue"/>
            <w:tcBorders>
              <w:top w:val="single" w:color="auto" w:sz="4" w:space="0"/>
              <w:left w:val="single" w:color="auto" w:sz="4" w:space="0"/>
              <w:bottom w:val="single" w:color="auto" w:sz="4" w:space="0"/>
              <w:right w:val="single" w:color="auto" w:sz="4" w:space="0"/>
            </w:tcBorders>
            <w:vAlign w:val="center"/>
          </w:tcPr>
          <w:p w14:paraId="61F5D635">
            <w:pPr>
              <w:rPr>
                <w:rFonts w:ascii="宋体" w:hAnsi="宋体" w:cs="宋体"/>
                <w:b/>
                <w:bCs/>
                <w:i w:val="0"/>
                <w:iCs w:val="0"/>
                <w:color w:val="auto"/>
                <w:kern w:val="2"/>
                <w:sz w:val="24"/>
                <w:szCs w:val="24"/>
                <w:highlight w:val="none"/>
              </w:rPr>
            </w:pPr>
          </w:p>
        </w:tc>
        <w:tc>
          <w:tcPr>
            <w:tcW w:w="913" w:type="pct"/>
            <w:vMerge w:val="continue"/>
            <w:tcBorders>
              <w:left w:val="nil"/>
              <w:bottom w:val="single" w:color="auto" w:sz="4" w:space="0"/>
              <w:right w:val="single" w:color="auto" w:sz="4" w:space="0"/>
            </w:tcBorders>
            <w:vAlign w:val="center"/>
          </w:tcPr>
          <w:p w14:paraId="49D17FC3">
            <w:pPr>
              <w:rPr>
                <w:rFonts w:ascii="宋体" w:hAnsi="宋体" w:cs="宋体"/>
                <w:b/>
                <w:bCs/>
                <w:i w:val="0"/>
                <w:iCs w:val="0"/>
                <w:color w:val="auto"/>
                <w:kern w:val="2"/>
                <w:sz w:val="24"/>
                <w:szCs w:val="24"/>
                <w:highlight w:val="none"/>
              </w:rPr>
            </w:pPr>
          </w:p>
        </w:tc>
        <w:tc>
          <w:tcPr>
            <w:tcW w:w="913" w:type="pct"/>
            <w:vMerge w:val="continue"/>
            <w:tcBorders>
              <w:left w:val="nil"/>
              <w:bottom w:val="single" w:color="auto" w:sz="4" w:space="0"/>
              <w:right w:val="single" w:color="auto" w:sz="4" w:space="0"/>
            </w:tcBorders>
            <w:vAlign w:val="center"/>
          </w:tcPr>
          <w:p w14:paraId="58B7869C">
            <w:pPr>
              <w:rPr>
                <w:rFonts w:ascii="宋体" w:hAnsi="宋体" w:cs="宋体"/>
                <w:b/>
                <w:bCs/>
                <w:i w:val="0"/>
                <w:iCs w:val="0"/>
                <w:color w:val="auto"/>
                <w:kern w:val="2"/>
                <w:sz w:val="24"/>
                <w:szCs w:val="24"/>
                <w:highlight w:val="none"/>
              </w:rPr>
            </w:pPr>
          </w:p>
        </w:tc>
        <w:tc>
          <w:tcPr>
            <w:tcW w:w="974" w:type="pct"/>
            <w:vMerge w:val="continue"/>
            <w:tcBorders>
              <w:top w:val="single" w:color="auto" w:sz="4" w:space="0"/>
              <w:left w:val="nil"/>
              <w:bottom w:val="single" w:color="auto" w:sz="4" w:space="0"/>
              <w:right w:val="single" w:color="auto" w:sz="4" w:space="0"/>
            </w:tcBorders>
            <w:vAlign w:val="center"/>
          </w:tcPr>
          <w:p w14:paraId="742C06A0">
            <w:pPr>
              <w:rPr>
                <w:rFonts w:ascii="宋体" w:hAnsi="宋体" w:cs="宋体"/>
                <w:b/>
                <w:bCs/>
                <w:i w:val="0"/>
                <w:iCs w:val="0"/>
                <w:color w:val="auto"/>
                <w:kern w:val="2"/>
                <w:sz w:val="24"/>
                <w:szCs w:val="24"/>
                <w:highlight w:val="none"/>
              </w:rPr>
            </w:pPr>
          </w:p>
        </w:tc>
        <w:tc>
          <w:tcPr>
            <w:tcW w:w="601" w:type="pct"/>
            <w:tcBorders>
              <w:top w:val="single" w:color="auto" w:sz="4" w:space="0"/>
              <w:left w:val="nil"/>
              <w:bottom w:val="single" w:color="auto" w:sz="4" w:space="0"/>
              <w:right w:val="single" w:color="auto" w:sz="4" w:space="0"/>
            </w:tcBorders>
            <w:vAlign w:val="center"/>
          </w:tcPr>
          <w:p w14:paraId="05F1A61A">
            <w:pPr>
              <w:adjustRightInd w:val="0"/>
              <w:snapToGrid w:val="0"/>
              <w:spacing w:line="440" w:lineRule="exact"/>
              <w:jc w:val="center"/>
              <w:rPr>
                <w:rFonts w:ascii="宋体" w:hAnsi="宋体" w:cs="宋体"/>
                <w:b/>
                <w:bCs/>
                <w:i w:val="0"/>
                <w:iCs w:val="0"/>
                <w:color w:val="auto"/>
                <w:kern w:val="2"/>
                <w:sz w:val="24"/>
                <w:szCs w:val="24"/>
                <w:highlight w:val="none"/>
              </w:rPr>
            </w:pPr>
            <w:r>
              <w:rPr>
                <w:rFonts w:hint="eastAsia" w:ascii="宋体" w:hAnsi="宋体" w:cs="宋体"/>
                <w:b/>
                <w:bCs/>
                <w:i w:val="0"/>
                <w:iCs w:val="0"/>
                <w:color w:val="auto"/>
                <w:kern w:val="2"/>
                <w:sz w:val="24"/>
                <w:szCs w:val="24"/>
                <w:highlight w:val="none"/>
              </w:rPr>
              <w:t>形式</w:t>
            </w:r>
          </w:p>
        </w:tc>
        <w:tc>
          <w:tcPr>
            <w:tcW w:w="769" w:type="pct"/>
            <w:tcBorders>
              <w:top w:val="single" w:color="auto" w:sz="4" w:space="0"/>
              <w:left w:val="nil"/>
              <w:bottom w:val="single" w:color="auto" w:sz="4" w:space="0"/>
              <w:right w:val="single" w:color="auto" w:sz="4" w:space="0"/>
            </w:tcBorders>
            <w:vAlign w:val="center"/>
          </w:tcPr>
          <w:p w14:paraId="0AE325CB">
            <w:pPr>
              <w:adjustRightInd w:val="0"/>
              <w:snapToGrid w:val="0"/>
              <w:spacing w:line="440" w:lineRule="exact"/>
              <w:jc w:val="center"/>
              <w:rPr>
                <w:rFonts w:ascii="宋体" w:hAnsi="宋体" w:cs="宋体"/>
                <w:b/>
                <w:bCs/>
                <w:i w:val="0"/>
                <w:iCs w:val="0"/>
                <w:color w:val="auto"/>
                <w:kern w:val="2"/>
                <w:sz w:val="24"/>
                <w:szCs w:val="24"/>
                <w:highlight w:val="none"/>
              </w:rPr>
            </w:pPr>
            <w:r>
              <w:rPr>
                <w:rFonts w:hint="eastAsia" w:ascii="宋体" w:hAnsi="宋体" w:cs="宋体"/>
                <w:b/>
                <w:bCs/>
                <w:i w:val="0"/>
                <w:iCs w:val="0"/>
                <w:color w:val="auto"/>
                <w:kern w:val="2"/>
                <w:sz w:val="24"/>
                <w:szCs w:val="24"/>
                <w:highlight w:val="none"/>
              </w:rPr>
              <w:t>金额(元)</w:t>
            </w:r>
          </w:p>
        </w:tc>
      </w:tr>
      <w:tr w14:paraId="56ABDF3C">
        <w:tblPrEx>
          <w:tblCellMar>
            <w:top w:w="0" w:type="dxa"/>
            <w:left w:w="108" w:type="dxa"/>
            <w:bottom w:w="0" w:type="dxa"/>
            <w:right w:w="108" w:type="dxa"/>
          </w:tblCellMar>
        </w:tblPrEx>
        <w:trPr>
          <w:cantSplit/>
          <w:trHeight w:val="1212" w:hRule="atLeast"/>
          <w:jc w:val="center"/>
        </w:trPr>
        <w:tc>
          <w:tcPr>
            <w:tcW w:w="827" w:type="pct"/>
            <w:tcBorders>
              <w:top w:val="single" w:color="auto" w:sz="4" w:space="0"/>
              <w:left w:val="single" w:color="auto" w:sz="4" w:space="0"/>
              <w:bottom w:val="single" w:color="auto" w:sz="4" w:space="0"/>
              <w:right w:val="single" w:color="auto" w:sz="4" w:space="0"/>
            </w:tcBorders>
            <w:vAlign w:val="center"/>
          </w:tcPr>
          <w:p w14:paraId="71CF497E">
            <w:pPr>
              <w:spacing w:line="460" w:lineRule="exact"/>
              <w:jc w:val="center"/>
              <w:rPr>
                <w:rFonts w:ascii="宋体" w:hAnsi="宋体" w:cs="宋体"/>
                <w:b/>
                <w:bCs/>
                <w:i w:val="0"/>
                <w:iCs w:val="0"/>
                <w:color w:val="auto"/>
                <w:kern w:val="2"/>
                <w:sz w:val="24"/>
                <w:szCs w:val="24"/>
                <w:highlight w:val="none"/>
              </w:rPr>
            </w:pPr>
          </w:p>
        </w:tc>
        <w:tc>
          <w:tcPr>
            <w:tcW w:w="913" w:type="pct"/>
            <w:tcBorders>
              <w:top w:val="single" w:color="auto" w:sz="4" w:space="0"/>
              <w:left w:val="nil"/>
              <w:bottom w:val="single" w:color="auto" w:sz="4" w:space="0"/>
              <w:right w:val="single" w:color="auto" w:sz="4" w:space="0"/>
            </w:tcBorders>
            <w:vAlign w:val="center"/>
          </w:tcPr>
          <w:p w14:paraId="4F7D76D7">
            <w:pPr>
              <w:spacing w:line="460" w:lineRule="exact"/>
              <w:jc w:val="center"/>
              <w:rPr>
                <w:rFonts w:ascii="宋体" w:hAnsi="宋体" w:cs="宋体"/>
                <w:b/>
                <w:bCs/>
                <w:i w:val="0"/>
                <w:iCs w:val="0"/>
                <w:color w:val="auto"/>
                <w:kern w:val="2"/>
                <w:sz w:val="24"/>
                <w:szCs w:val="24"/>
                <w:highlight w:val="none"/>
                <w:u w:val="single"/>
              </w:rPr>
            </w:pPr>
            <w:r>
              <w:rPr>
                <w:rFonts w:hint="eastAsia" w:ascii="宋体" w:hAnsi="宋体" w:cs="宋体"/>
                <w:b/>
                <w:bCs/>
                <w:i w:val="0"/>
                <w:iCs w:val="0"/>
                <w:color w:val="auto"/>
                <w:kern w:val="2"/>
                <w:sz w:val="24"/>
                <w:szCs w:val="24"/>
                <w:highlight w:val="none"/>
                <w:u w:val="single"/>
              </w:rPr>
              <w:t xml:space="preserve">      </w:t>
            </w:r>
            <w:r>
              <w:rPr>
                <w:rFonts w:hint="eastAsia" w:ascii="宋体" w:hAnsi="宋体" w:cs="宋体"/>
                <w:b/>
                <w:bCs/>
                <w:i w:val="0"/>
                <w:iCs w:val="0"/>
                <w:color w:val="auto"/>
                <w:kern w:val="2"/>
                <w:sz w:val="24"/>
                <w:szCs w:val="24"/>
                <w:highlight w:val="none"/>
              </w:rPr>
              <w:t>元</w:t>
            </w:r>
          </w:p>
        </w:tc>
        <w:tc>
          <w:tcPr>
            <w:tcW w:w="913" w:type="pct"/>
            <w:tcBorders>
              <w:top w:val="single" w:color="auto" w:sz="4" w:space="0"/>
              <w:left w:val="nil"/>
              <w:bottom w:val="single" w:color="auto" w:sz="4" w:space="0"/>
              <w:right w:val="single" w:color="auto" w:sz="4" w:space="0"/>
            </w:tcBorders>
            <w:vAlign w:val="center"/>
          </w:tcPr>
          <w:p w14:paraId="465910DE">
            <w:pPr>
              <w:spacing w:line="460" w:lineRule="exact"/>
              <w:jc w:val="center"/>
              <w:rPr>
                <w:rFonts w:ascii="宋体" w:hAnsi="宋体" w:cs="宋体"/>
                <w:b/>
                <w:bCs/>
                <w:i w:val="0"/>
                <w:iCs w:val="0"/>
                <w:color w:val="auto"/>
                <w:kern w:val="2"/>
                <w:sz w:val="24"/>
                <w:szCs w:val="24"/>
                <w:highlight w:val="none"/>
              </w:rPr>
            </w:pPr>
            <w:r>
              <w:rPr>
                <w:rFonts w:hint="eastAsia" w:ascii="宋体" w:hAnsi="宋体" w:cs="宋体"/>
                <w:b/>
                <w:bCs/>
                <w:i w:val="0"/>
                <w:iCs w:val="0"/>
                <w:color w:val="auto"/>
                <w:kern w:val="2"/>
                <w:sz w:val="24"/>
                <w:szCs w:val="24"/>
                <w:highlight w:val="none"/>
                <w:u w:val="single"/>
              </w:rPr>
              <w:t xml:space="preserve">   %</w:t>
            </w:r>
          </w:p>
        </w:tc>
        <w:tc>
          <w:tcPr>
            <w:tcW w:w="974" w:type="pct"/>
            <w:tcBorders>
              <w:top w:val="single" w:color="auto" w:sz="4" w:space="0"/>
              <w:left w:val="nil"/>
              <w:bottom w:val="single" w:color="auto" w:sz="4" w:space="0"/>
              <w:right w:val="single" w:color="auto" w:sz="4" w:space="0"/>
            </w:tcBorders>
            <w:vAlign w:val="center"/>
          </w:tcPr>
          <w:p w14:paraId="049256AF">
            <w:pPr>
              <w:spacing w:line="460" w:lineRule="exact"/>
              <w:jc w:val="center"/>
              <w:rPr>
                <w:rFonts w:ascii="宋体" w:hAnsi="宋体" w:cs="宋体"/>
                <w:b/>
                <w:bCs/>
                <w:i w:val="0"/>
                <w:iCs w:val="0"/>
                <w:color w:val="auto"/>
                <w:kern w:val="2"/>
                <w:sz w:val="24"/>
                <w:szCs w:val="24"/>
                <w:highlight w:val="none"/>
              </w:rPr>
            </w:pPr>
          </w:p>
        </w:tc>
        <w:tc>
          <w:tcPr>
            <w:tcW w:w="601" w:type="pct"/>
            <w:tcBorders>
              <w:top w:val="single" w:color="auto" w:sz="4" w:space="0"/>
              <w:left w:val="nil"/>
              <w:bottom w:val="single" w:color="auto" w:sz="4" w:space="0"/>
              <w:right w:val="single" w:color="auto" w:sz="4" w:space="0"/>
            </w:tcBorders>
            <w:vAlign w:val="center"/>
          </w:tcPr>
          <w:p w14:paraId="70AE8B41">
            <w:pPr>
              <w:spacing w:line="460" w:lineRule="exact"/>
              <w:jc w:val="center"/>
              <w:rPr>
                <w:rFonts w:ascii="宋体" w:hAnsi="宋体" w:cs="宋体"/>
                <w:b/>
                <w:bCs/>
                <w:i w:val="0"/>
                <w:iCs w:val="0"/>
                <w:color w:val="auto"/>
                <w:kern w:val="2"/>
                <w:sz w:val="24"/>
                <w:szCs w:val="24"/>
                <w:highlight w:val="none"/>
              </w:rPr>
            </w:pPr>
          </w:p>
        </w:tc>
        <w:tc>
          <w:tcPr>
            <w:tcW w:w="769" w:type="pct"/>
            <w:tcBorders>
              <w:top w:val="single" w:color="auto" w:sz="4" w:space="0"/>
              <w:left w:val="nil"/>
              <w:bottom w:val="single" w:color="auto" w:sz="4" w:space="0"/>
              <w:right w:val="single" w:color="auto" w:sz="4" w:space="0"/>
            </w:tcBorders>
            <w:vAlign w:val="center"/>
          </w:tcPr>
          <w:p w14:paraId="79DA9BB0">
            <w:pPr>
              <w:spacing w:line="460" w:lineRule="exact"/>
              <w:jc w:val="center"/>
              <w:rPr>
                <w:rFonts w:ascii="宋体" w:hAnsi="宋体" w:cs="宋体"/>
                <w:b/>
                <w:bCs/>
                <w:i w:val="0"/>
                <w:iCs w:val="0"/>
                <w:color w:val="auto"/>
                <w:kern w:val="2"/>
                <w:sz w:val="24"/>
                <w:szCs w:val="24"/>
                <w:highlight w:val="none"/>
              </w:rPr>
            </w:pPr>
          </w:p>
        </w:tc>
      </w:tr>
    </w:tbl>
    <w:p w14:paraId="4A174A61">
      <w:pPr>
        <w:spacing w:line="420" w:lineRule="exact"/>
        <w:ind w:right="-353" w:rightChars="-147"/>
        <w:rPr>
          <w:rFonts w:ascii="宋体" w:hAnsi="宋体" w:cs="宋体"/>
          <w:i w:val="0"/>
          <w:iCs w:val="0"/>
          <w:color w:val="auto"/>
          <w:sz w:val="28"/>
          <w:szCs w:val="28"/>
          <w:highlight w:val="none"/>
        </w:rPr>
      </w:pPr>
      <w:r>
        <w:rPr>
          <w:rFonts w:hint="eastAsia" w:ascii="宋体" w:hAnsi="宋体" w:cs="宋体"/>
          <w:i w:val="0"/>
          <w:iCs w:val="0"/>
          <w:color w:val="auto"/>
          <w:sz w:val="28"/>
          <w:szCs w:val="28"/>
          <w:highlight w:val="none"/>
        </w:rPr>
        <w:t xml:space="preserve"> </w:t>
      </w:r>
    </w:p>
    <w:p w14:paraId="2B13525A">
      <w:pPr>
        <w:spacing w:line="420" w:lineRule="exact"/>
        <w:ind w:right="-353" w:rightChars="-147"/>
        <w:rPr>
          <w:rFonts w:ascii="宋体" w:hAnsi="宋体" w:cs="宋体"/>
          <w:b/>
          <w:i w:val="0"/>
          <w:iCs w:val="0"/>
          <w:color w:val="auto"/>
          <w:highlight w:val="none"/>
        </w:rPr>
      </w:pPr>
      <w:r>
        <w:rPr>
          <w:rFonts w:hint="eastAsia" w:ascii="宋体" w:hAnsi="宋体" w:cs="宋体"/>
          <w:b/>
          <w:i w:val="0"/>
          <w:iCs w:val="0"/>
          <w:color w:val="auto"/>
          <w:highlight w:val="none"/>
        </w:rPr>
        <w:t>注：(1)此表中的投标报价即为最终报价，不允许另有折扣说明。</w:t>
      </w:r>
    </w:p>
    <w:p w14:paraId="0AC0CD27">
      <w:pPr>
        <w:spacing w:line="420" w:lineRule="exact"/>
        <w:ind w:right="-353" w:rightChars="-147"/>
        <w:rPr>
          <w:rFonts w:ascii="宋体" w:hAnsi="宋体" w:cs="宋体"/>
          <w:b/>
          <w:i w:val="0"/>
          <w:iCs w:val="0"/>
          <w:color w:val="auto"/>
          <w:highlight w:val="none"/>
        </w:rPr>
      </w:pPr>
      <w:r>
        <w:rPr>
          <w:rFonts w:hint="eastAsia" w:ascii="宋体" w:hAnsi="宋体" w:cs="宋体"/>
          <w:b/>
          <w:i w:val="0"/>
          <w:iCs w:val="0"/>
          <w:color w:val="auto"/>
          <w:highlight w:val="none"/>
        </w:rPr>
        <w:t>（2）此表请放在投标文件封面后第一页，以方便唱标。</w:t>
      </w:r>
    </w:p>
    <w:p w14:paraId="2123AA54">
      <w:pPr>
        <w:spacing w:line="420" w:lineRule="exact"/>
        <w:ind w:right="-353" w:rightChars="-147"/>
        <w:rPr>
          <w:rFonts w:ascii="宋体" w:hAnsi="宋体" w:cs="宋体"/>
          <w:b/>
          <w:i w:val="0"/>
          <w:iCs w:val="0"/>
          <w:color w:val="auto"/>
          <w:highlight w:val="none"/>
        </w:rPr>
      </w:pPr>
      <w:r>
        <w:rPr>
          <w:rFonts w:hint="eastAsia" w:ascii="宋体" w:hAnsi="宋体" w:cs="宋体"/>
          <w:b/>
          <w:i w:val="0"/>
          <w:iCs w:val="0"/>
          <w:color w:val="auto"/>
          <w:highlight w:val="none"/>
        </w:rPr>
        <w:t>（3）投标报价为综合报价，报价应为人民币含税价（元），包括服务成本价格（含利润）、保险、税收、培训、售后服务、中标服务费等所有一切费用。</w:t>
      </w:r>
    </w:p>
    <w:p w14:paraId="106798C4">
      <w:pPr>
        <w:spacing w:line="600" w:lineRule="atLeast"/>
        <w:rPr>
          <w:rFonts w:ascii="宋体" w:hAnsi="宋体" w:cs="宋体"/>
          <w:i w:val="0"/>
          <w:iCs w:val="0"/>
          <w:color w:val="auto"/>
          <w:sz w:val="28"/>
          <w:szCs w:val="28"/>
          <w:highlight w:val="none"/>
        </w:rPr>
      </w:pPr>
      <w:r>
        <w:rPr>
          <w:rFonts w:hint="eastAsia" w:ascii="宋体" w:hAnsi="宋体" w:cs="宋体"/>
          <w:i w:val="0"/>
          <w:iCs w:val="0"/>
          <w:color w:val="auto"/>
          <w:sz w:val="28"/>
          <w:szCs w:val="28"/>
          <w:highlight w:val="none"/>
        </w:rPr>
        <w:t xml:space="preserve"> </w:t>
      </w:r>
    </w:p>
    <w:p w14:paraId="70B9B68F">
      <w:pPr>
        <w:spacing w:line="480" w:lineRule="auto"/>
        <w:ind w:right="480"/>
        <w:rPr>
          <w:rFonts w:ascii="宋体" w:hAnsi="宋体" w:cs="宋体"/>
          <w:i w:val="0"/>
          <w:iCs w:val="0"/>
          <w:color w:val="auto"/>
          <w:sz w:val="24"/>
          <w:szCs w:val="24"/>
          <w:highlight w:val="none"/>
        </w:rPr>
      </w:pPr>
      <w:r>
        <w:rPr>
          <w:rFonts w:hint="eastAsia" w:ascii="宋体" w:hAnsi="宋体" w:cs="宋体"/>
          <w:i w:val="0"/>
          <w:iCs w:val="0"/>
          <w:color w:val="auto"/>
          <w:sz w:val="28"/>
          <w:szCs w:val="28"/>
          <w:highlight w:val="none"/>
        </w:rPr>
        <w:t xml:space="preserve">   </w:t>
      </w:r>
      <w:r>
        <w:rPr>
          <w:rFonts w:hint="eastAsia" w:ascii="宋体" w:hAnsi="宋体" w:cs="宋体"/>
          <w:i w:val="0"/>
          <w:iCs w:val="0"/>
          <w:color w:val="auto"/>
          <w:sz w:val="24"/>
          <w:szCs w:val="24"/>
          <w:highlight w:val="none"/>
        </w:rPr>
        <w:t>投标人：</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（加盖单位公章）</w:t>
      </w:r>
    </w:p>
    <w:p w14:paraId="60345263">
      <w:pPr>
        <w:spacing w:line="480" w:lineRule="auto"/>
        <w:ind w:right="48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 xml:space="preserve">   法定代表人(单位负责人)或其委托代理人：</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（签字或盖章）</w:t>
      </w:r>
    </w:p>
    <w:p w14:paraId="2F88864B">
      <w:pPr>
        <w:spacing w:line="480" w:lineRule="auto"/>
        <w:ind w:right="480"/>
        <w:rPr>
          <w:rFonts w:hint="eastAsia"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 xml:space="preserve">   日期</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年</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月</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日</w:t>
      </w:r>
    </w:p>
    <w:p w14:paraId="6953B3CE">
      <w:pPr>
        <w:rPr>
          <w:rFonts w:hint="eastAsia" w:ascii="黑体" w:hAnsi="黑体" w:eastAsia="黑体" w:cs="黑体"/>
          <w:i w:val="0"/>
          <w:iCs w:val="0"/>
          <w:color w:val="auto"/>
          <w:sz w:val="28"/>
          <w:szCs w:val="28"/>
          <w:highlight w:val="none"/>
        </w:rPr>
      </w:pPr>
      <w:r>
        <w:rPr>
          <w:rFonts w:hint="eastAsia" w:ascii="黑体" w:hAnsi="黑体" w:eastAsia="黑体" w:cs="黑体"/>
          <w:b/>
          <w:bCs/>
          <w:i w:val="0"/>
          <w:iCs w:val="0"/>
          <w:color w:val="auto"/>
          <w:sz w:val="28"/>
          <w:szCs w:val="28"/>
          <w:highlight w:val="none"/>
        </w:rPr>
        <w:t>格式2：</w:t>
      </w:r>
    </w:p>
    <w:p w14:paraId="751981B4">
      <w:pPr>
        <w:jc w:val="center"/>
        <w:rPr>
          <w:rFonts w:hint="eastAsia"/>
          <w:b/>
          <w:bCs/>
          <w:sz w:val="28"/>
          <w:szCs w:val="28"/>
        </w:rPr>
      </w:pPr>
      <w:bookmarkStart w:id="263" w:name="_Toc17435"/>
      <w:bookmarkEnd w:id="263"/>
      <w:bookmarkStart w:id="264" w:name="_Toc27099"/>
      <w:bookmarkStart w:id="265" w:name="_Toc12259"/>
      <w:bookmarkStart w:id="266" w:name="_Toc30371"/>
      <w:bookmarkStart w:id="267" w:name="_Toc2521"/>
      <w:r>
        <w:rPr>
          <w:rFonts w:hint="eastAsia"/>
          <w:b/>
          <w:bCs/>
          <w:sz w:val="28"/>
          <w:szCs w:val="28"/>
        </w:rPr>
        <w:t>投标函</w:t>
      </w:r>
      <w:bookmarkEnd w:id="264"/>
      <w:bookmarkEnd w:id="265"/>
      <w:bookmarkEnd w:id="266"/>
      <w:bookmarkEnd w:id="267"/>
    </w:p>
    <w:p w14:paraId="041B3BA0">
      <w:pPr>
        <w:spacing w:line="360" w:lineRule="auto"/>
        <w:rPr>
          <w:rFonts w:ascii="宋体" w:hAnsi="宋体" w:cs="宋体"/>
          <w:i w:val="0"/>
          <w:iCs w:val="0"/>
          <w:color w:val="auto"/>
          <w:sz w:val="24"/>
          <w:szCs w:val="24"/>
          <w:highlight w:val="none"/>
          <w:u w:val="single"/>
        </w:rPr>
      </w:pPr>
    </w:p>
    <w:p w14:paraId="77206F32">
      <w:pPr>
        <w:spacing w:line="360" w:lineRule="auto"/>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(招标人名称)：</w:t>
      </w:r>
    </w:p>
    <w:p w14:paraId="723A5882">
      <w:pPr>
        <w:autoSpaceDE w:val="0"/>
        <w:autoSpaceDN w:val="0"/>
        <w:adjustRightInd w:val="0"/>
        <w:snapToGrid w:val="0"/>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我方已仔细研究了</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(项目名称)</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的全部内容，</w:t>
      </w:r>
      <w:r>
        <w:rPr>
          <w:rFonts w:hint="eastAsia" w:ascii="宋体" w:hAnsi="宋体" w:cs="宋体"/>
          <w:i w:val="0"/>
          <w:iCs w:val="0"/>
          <w:color w:val="auto"/>
          <w:sz w:val="24"/>
          <w:highlight w:val="none"/>
        </w:rPr>
        <w:t>且对</w:t>
      </w:r>
      <w:r>
        <w:rPr>
          <w:rFonts w:hint="eastAsia" w:ascii="宋体" w:hAnsi="宋体" w:cs="宋体"/>
          <w:i w:val="0"/>
          <w:iCs w:val="0"/>
          <w:color w:val="auto"/>
          <w:sz w:val="24"/>
          <w:highlight w:val="none"/>
          <w:lang w:eastAsia="zh-CN"/>
        </w:rPr>
        <w:t>招标文件</w:t>
      </w:r>
      <w:r>
        <w:rPr>
          <w:rFonts w:hint="eastAsia" w:ascii="宋体" w:hAnsi="宋体" w:cs="宋体"/>
          <w:i w:val="0"/>
          <w:iCs w:val="0"/>
          <w:color w:val="auto"/>
          <w:sz w:val="24"/>
          <w:highlight w:val="none"/>
        </w:rPr>
        <w:t>无任何异议，并愿意以“开标一览表”所填写的投标</w:t>
      </w:r>
      <w:r>
        <w:rPr>
          <w:rFonts w:hint="eastAsia" w:ascii="宋体" w:hAnsi="宋体" w:cs="宋体"/>
          <w:i w:val="0"/>
          <w:iCs w:val="0"/>
          <w:color w:val="auto"/>
          <w:sz w:val="24"/>
          <w:highlight w:val="none"/>
          <w:lang w:val="en-US" w:eastAsia="zh-CN"/>
        </w:rPr>
        <w:t>报</w:t>
      </w:r>
      <w:r>
        <w:rPr>
          <w:rFonts w:hint="eastAsia" w:ascii="宋体" w:hAnsi="宋体" w:cs="宋体"/>
          <w:i w:val="0"/>
          <w:iCs w:val="0"/>
          <w:color w:val="auto"/>
          <w:sz w:val="24"/>
          <w:highlight w:val="none"/>
        </w:rPr>
        <w:t>价，向你方提供</w:t>
      </w:r>
      <w:r>
        <w:rPr>
          <w:rFonts w:hint="eastAsia" w:ascii="宋体" w:hAnsi="宋体" w:cs="宋体"/>
          <w:i w:val="0"/>
          <w:iCs w:val="0"/>
          <w:color w:val="auto"/>
          <w:sz w:val="24"/>
          <w:highlight w:val="none"/>
          <w:lang w:eastAsia="zh-CN"/>
        </w:rPr>
        <w:t>招标文件</w:t>
      </w:r>
      <w:r>
        <w:rPr>
          <w:rFonts w:hint="eastAsia" w:ascii="宋体" w:hAnsi="宋体" w:cs="宋体"/>
          <w:i w:val="0"/>
          <w:iCs w:val="0"/>
          <w:color w:val="auto"/>
          <w:sz w:val="24"/>
          <w:highlight w:val="none"/>
        </w:rPr>
        <w:t>要求的服务。</w:t>
      </w:r>
      <w:r>
        <w:rPr>
          <w:rFonts w:hint="eastAsia" w:ascii="宋体" w:hAnsi="宋体" w:cs="宋体"/>
          <w:i w:val="0"/>
          <w:iCs w:val="0"/>
          <w:color w:val="auto"/>
          <w:sz w:val="24"/>
          <w:szCs w:val="24"/>
          <w:highlight w:val="none"/>
        </w:rPr>
        <w:t xml:space="preserve">    </w:t>
      </w:r>
    </w:p>
    <w:p w14:paraId="498B7789">
      <w:pPr>
        <w:autoSpaceDE w:val="0"/>
        <w:autoSpaceDN w:val="0"/>
        <w:adjustRightInd w:val="0"/>
        <w:snapToGrid w:val="0"/>
        <w:spacing w:line="360" w:lineRule="auto"/>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1.我方承诺在投标有效期内不修改或撤销投标文件。否则，你方可不予退还我方的投标保证金。</w:t>
      </w:r>
    </w:p>
    <w:p w14:paraId="5326526F">
      <w:pPr>
        <w:autoSpaceDE w:val="0"/>
        <w:autoSpaceDN w:val="0"/>
        <w:adjustRightInd w:val="0"/>
        <w:snapToGrid w:val="0"/>
        <w:spacing w:line="360" w:lineRule="auto"/>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2.本投标的投标有效期为自投标截止之日起</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个日历天。</w:t>
      </w:r>
    </w:p>
    <w:p w14:paraId="3B10D72C">
      <w:pPr>
        <w:pStyle w:val="7"/>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3.我方承诺所提交的投标文件及有关资料是完整的、真实的、准确的和有效的，否则，我方承担由此造成的任何损失及引起的任何后果。</w:t>
      </w:r>
    </w:p>
    <w:p w14:paraId="4B9614D4">
      <w:pPr>
        <w:pStyle w:val="7"/>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4.我方严格遵守“诚实信用”的原则，参与本项目招标投标活动提供的所有材料（包括但不限于资格证明、承诺、业绩、人员、异议、</w:t>
      </w:r>
      <w:r>
        <w:rPr>
          <w:rFonts w:hint="eastAsia" w:ascii="宋体" w:hAnsi="宋体" w:cs="宋体"/>
          <w:i w:val="0"/>
          <w:iCs w:val="0"/>
          <w:color w:val="auto"/>
          <w:kern w:val="0"/>
          <w:sz w:val="24"/>
          <w:highlight w:val="none"/>
          <w:lang w:eastAsia="zh-CN"/>
        </w:rPr>
        <w:t>投诉</w:t>
      </w:r>
      <w:r>
        <w:rPr>
          <w:rFonts w:hint="eastAsia" w:ascii="宋体" w:hAnsi="宋体" w:cs="宋体"/>
          <w:i w:val="0"/>
          <w:iCs w:val="0"/>
          <w:color w:val="auto"/>
          <w:kern w:val="0"/>
          <w:sz w:val="24"/>
          <w:highlight w:val="none"/>
        </w:rPr>
        <w:t>、其他信誉信用证明材料等）均真实有效，无弄虚作假。同意应贵方要求提供与本投标有关的任何数据和资料，并保证数据和资料的完整性和真实性。若有违反，我方愿意承担一切后果，包括但不限于取消本次投标的投标资格、中标候选人资格或中标资格，并接受由此导致的一切后果。</w:t>
      </w:r>
    </w:p>
    <w:p w14:paraId="595E14E3">
      <w:pPr>
        <w:pStyle w:val="7"/>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5.我方承诺：不挂靠单位投标；不与其他投标人串通投标、围标，依法、依规公平竞争，不损害招标人或其他投标人的合法权益；不转让、出租、出借资质证书、人员岗位证书，不以法律、法规禁止的方式投标。我方将遵守有关的国家法律、法令、条例；我方与招标人不存在利害关系，不影响招标公正性。我方不存在单位负责人为同一人或者存在控股、管理关系的不同单位同时参加本项目的投标。</w:t>
      </w:r>
    </w:p>
    <w:p w14:paraId="0F15C5D9">
      <w:pPr>
        <w:pStyle w:val="7"/>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6.我方本次投标不存在违反有关廉洁规定的行为；若中标，在合同执行期间和质保期间，也承诺不会违反有关的廉洁规定”的承诺。</w:t>
      </w:r>
    </w:p>
    <w:p w14:paraId="742E2F9A">
      <w:pPr>
        <w:autoSpaceDE w:val="0"/>
        <w:autoSpaceDN w:val="0"/>
        <w:adjustRightInd w:val="0"/>
        <w:snapToGrid w:val="0"/>
        <w:spacing w:line="360" w:lineRule="auto"/>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7.如我方中标：</w:t>
      </w:r>
    </w:p>
    <w:p w14:paraId="21CF8555">
      <w:pPr>
        <w:pStyle w:val="7"/>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（1）在收到中标通知书后，在中标通知书规定的期限内与你方签订合同；</w:t>
      </w:r>
    </w:p>
    <w:p w14:paraId="69AEE0C4">
      <w:pPr>
        <w:pStyle w:val="7"/>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（2）在签订合同时不向你方提出附加条件；</w:t>
      </w:r>
    </w:p>
    <w:p w14:paraId="7058E5B3">
      <w:pPr>
        <w:pStyle w:val="7"/>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（3）按照</w:t>
      </w:r>
      <w:r>
        <w:rPr>
          <w:rFonts w:hint="eastAsia" w:ascii="宋体" w:hAnsi="宋体" w:cs="宋体"/>
          <w:i w:val="0"/>
          <w:iCs w:val="0"/>
          <w:color w:val="auto"/>
          <w:sz w:val="24"/>
          <w:highlight w:val="none"/>
          <w:lang w:eastAsia="zh-CN"/>
        </w:rPr>
        <w:t>招标文件</w:t>
      </w:r>
      <w:r>
        <w:rPr>
          <w:rFonts w:hint="eastAsia" w:ascii="宋体" w:hAnsi="宋体" w:cs="宋体"/>
          <w:i w:val="0"/>
          <w:iCs w:val="0"/>
          <w:color w:val="auto"/>
          <w:sz w:val="24"/>
          <w:highlight w:val="none"/>
        </w:rPr>
        <w:t>要求提交履约保证金；</w:t>
      </w:r>
    </w:p>
    <w:p w14:paraId="27319D16">
      <w:pPr>
        <w:pStyle w:val="7"/>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（4）在合同约定的期限内完成合同规定的全部义务；</w:t>
      </w:r>
    </w:p>
    <w:p w14:paraId="731FC17B">
      <w:pPr>
        <w:pStyle w:val="7"/>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（5）我方承诺在服务过程中严格遵守招标人内部有关管理的规定。</w:t>
      </w:r>
    </w:p>
    <w:p w14:paraId="2904CBD9">
      <w:pPr>
        <w:pStyle w:val="7"/>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（6）除商务条款偏离表列出的偏差外，我方响应</w:t>
      </w:r>
      <w:r>
        <w:rPr>
          <w:rFonts w:hint="eastAsia" w:ascii="宋体" w:hAnsi="宋体" w:cs="宋体"/>
          <w:i w:val="0"/>
          <w:iCs w:val="0"/>
          <w:color w:val="auto"/>
          <w:sz w:val="24"/>
          <w:highlight w:val="none"/>
          <w:lang w:eastAsia="zh-CN"/>
        </w:rPr>
        <w:t>招标文件</w:t>
      </w:r>
      <w:r>
        <w:rPr>
          <w:rFonts w:hint="eastAsia" w:ascii="宋体" w:hAnsi="宋体" w:cs="宋体"/>
          <w:i w:val="0"/>
          <w:iCs w:val="0"/>
          <w:color w:val="auto"/>
          <w:sz w:val="24"/>
          <w:highlight w:val="none"/>
        </w:rPr>
        <w:t>的全部要求。</w:t>
      </w:r>
    </w:p>
    <w:p w14:paraId="1B62B61F">
      <w:pPr>
        <w:autoSpaceDE w:val="0"/>
        <w:autoSpaceDN w:val="0"/>
        <w:adjustRightInd w:val="0"/>
        <w:snapToGrid w:val="0"/>
        <w:spacing w:line="360" w:lineRule="auto"/>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8.</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（其他补充说明）。</w:t>
      </w:r>
    </w:p>
    <w:p w14:paraId="61F2BC7E">
      <w:pPr>
        <w:pStyle w:val="7"/>
        <w:ind w:firstLine="482" w:firstLineChars="200"/>
        <w:rPr>
          <w:rFonts w:ascii="宋体" w:hAnsi="宋体" w:cs="宋体"/>
          <w:b/>
          <w:bCs/>
          <w:i w:val="0"/>
          <w:iCs w:val="0"/>
          <w:color w:val="auto"/>
          <w:sz w:val="24"/>
          <w:highlight w:val="none"/>
        </w:rPr>
      </w:pPr>
      <w:r>
        <w:rPr>
          <w:rFonts w:hint="eastAsia" w:ascii="宋体" w:hAnsi="宋体" w:cs="宋体"/>
          <w:b/>
          <w:bCs/>
          <w:i w:val="0"/>
          <w:iCs w:val="0"/>
          <w:color w:val="auto"/>
          <w:sz w:val="24"/>
          <w:highlight w:val="none"/>
        </w:rPr>
        <w:t>此函及投标文件做为我方的承诺，若有违背，我方将承担完全法律责任，且招标人有权取消我方的投标或中标候选或中标资格。给招标人造成损失的，我方依法承担全部赔偿责任。已签订合同的，招标人有权单方面终止合同。我方将赔偿一切损失。</w:t>
      </w:r>
    </w:p>
    <w:p w14:paraId="751AE960">
      <w:pPr>
        <w:pStyle w:val="7"/>
        <w:ind w:firstLine="480" w:firstLineChars="200"/>
        <w:rPr>
          <w:rFonts w:ascii="宋体" w:hAnsi="宋体" w:cs="宋体"/>
          <w:i w:val="0"/>
          <w:iCs w:val="0"/>
          <w:color w:val="auto"/>
          <w:kern w:val="0"/>
          <w:sz w:val="24"/>
          <w:highlight w:val="none"/>
        </w:rPr>
      </w:pPr>
    </w:p>
    <w:p w14:paraId="79A805EC">
      <w:pPr>
        <w:spacing w:line="360" w:lineRule="auto"/>
        <w:ind w:firstLine="2891" w:firstLineChars="1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投 标 人：</w:t>
      </w:r>
      <w:r>
        <w:rPr>
          <w:rFonts w:hint="eastAsia" w:ascii="宋体" w:hAnsi="宋体" w:cs="宋体"/>
          <w:b/>
          <w:bCs/>
          <w:i w:val="0"/>
          <w:iCs w:val="0"/>
          <w:color w:val="auto"/>
          <w:sz w:val="24"/>
          <w:szCs w:val="24"/>
          <w:highlight w:val="none"/>
          <w:u w:val="single"/>
        </w:rPr>
        <w:tab/>
      </w:r>
      <w:r>
        <w:rPr>
          <w:rFonts w:hint="eastAsia" w:ascii="宋体" w:hAnsi="宋体" w:cs="宋体"/>
          <w:b/>
          <w:bCs/>
          <w:i w:val="0"/>
          <w:iCs w:val="0"/>
          <w:color w:val="auto"/>
          <w:sz w:val="24"/>
          <w:szCs w:val="24"/>
          <w:highlight w:val="none"/>
          <w:u w:val="single"/>
        </w:rPr>
        <w:t xml:space="preserve">                         </w:t>
      </w:r>
      <w:r>
        <w:rPr>
          <w:rFonts w:hint="eastAsia" w:ascii="宋体" w:hAnsi="宋体" w:cs="宋体"/>
          <w:b/>
          <w:bCs/>
          <w:i w:val="0"/>
          <w:iCs w:val="0"/>
          <w:color w:val="auto"/>
          <w:sz w:val="24"/>
          <w:szCs w:val="24"/>
          <w:highlight w:val="none"/>
        </w:rPr>
        <w:t>(加盖单位公章)</w:t>
      </w:r>
    </w:p>
    <w:p w14:paraId="1EB2D39E">
      <w:pPr>
        <w:spacing w:line="360" w:lineRule="auto"/>
        <w:ind w:left="288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法定代表人(单位负责人)或其委托代理人：</w:t>
      </w:r>
      <w:r>
        <w:rPr>
          <w:rFonts w:hint="eastAsia" w:ascii="宋体" w:hAnsi="宋体" w:cs="宋体"/>
          <w:b/>
          <w:bCs/>
          <w:i w:val="0"/>
          <w:iCs w:val="0"/>
          <w:color w:val="auto"/>
          <w:sz w:val="24"/>
          <w:szCs w:val="24"/>
          <w:highlight w:val="none"/>
          <w:u w:val="single"/>
        </w:rPr>
        <w:tab/>
      </w:r>
      <w:r>
        <w:rPr>
          <w:rFonts w:hint="eastAsia" w:ascii="宋体" w:hAnsi="宋体" w:cs="宋体"/>
          <w:b/>
          <w:bCs/>
          <w:i w:val="0"/>
          <w:iCs w:val="0"/>
          <w:color w:val="auto"/>
          <w:sz w:val="24"/>
          <w:szCs w:val="24"/>
          <w:highlight w:val="none"/>
          <w:u w:val="single"/>
        </w:rPr>
        <w:t xml:space="preserve">  </w:t>
      </w:r>
      <w:r>
        <w:rPr>
          <w:rFonts w:hint="eastAsia" w:ascii="宋体" w:hAnsi="宋体" w:cs="宋体"/>
          <w:b/>
          <w:bCs/>
          <w:i w:val="0"/>
          <w:iCs w:val="0"/>
          <w:color w:val="auto"/>
          <w:sz w:val="24"/>
          <w:szCs w:val="24"/>
          <w:highlight w:val="none"/>
        </w:rPr>
        <w:t>(签字或盖章)</w:t>
      </w:r>
    </w:p>
    <w:p w14:paraId="2B881F8F">
      <w:pPr>
        <w:spacing w:line="360" w:lineRule="auto"/>
        <w:ind w:left="2880"/>
        <w:rPr>
          <w:rFonts w:ascii="宋体" w:hAnsi="宋体" w:cs="宋体"/>
          <w:b/>
          <w:bCs/>
          <w:i w:val="0"/>
          <w:iCs w:val="0"/>
          <w:color w:val="auto"/>
          <w:sz w:val="24"/>
          <w:szCs w:val="24"/>
          <w:highlight w:val="none"/>
          <w:u w:val="single"/>
        </w:rPr>
      </w:pPr>
      <w:r>
        <w:rPr>
          <w:rFonts w:hint="eastAsia" w:ascii="宋体" w:hAnsi="宋体" w:cs="宋体"/>
          <w:b/>
          <w:bCs/>
          <w:i w:val="0"/>
          <w:iCs w:val="0"/>
          <w:color w:val="auto"/>
          <w:sz w:val="24"/>
          <w:szCs w:val="24"/>
          <w:highlight w:val="none"/>
        </w:rPr>
        <w:t>地</w:t>
      </w:r>
      <w:r>
        <w:rPr>
          <w:rFonts w:hint="eastAsia" w:ascii="宋体" w:hAnsi="宋体" w:cs="宋体"/>
          <w:b/>
          <w:bCs/>
          <w:i w:val="0"/>
          <w:iCs w:val="0"/>
          <w:color w:val="auto"/>
          <w:sz w:val="24"/>
          <w:szCs w:val="24"/>
          <w:highlight w:val="none"/>
        </w:rPr>
        <w:tab/>
      </w:r>
      <w:r>
        <w:rPr>
          <w:rFonts w:hint="eastAsia" w:ascii="宋体" w:hAnsi="宋体" w:cs="宋体"/>
          <w:b/>
          <w:bCs/>
          <w:i w:val="0"/>
          <w:iCs w:val="0"/>
          <w:color w:val="auto"/>
          <w:sz w:val="24"/>
          <w:szCs w:val="24"/>
          <w:highlight w:val="none"/>
        </w:rPr>
        <w:t>址：</w:t>
      </w:r>
      <w:r>
        <w:rPr>
          <w:rFonts w:hint="eastAsia" w:ascii="宋体" w:hAnsi="宋体" w:cs="宋体"/>
          <w:b/>
          <w:bCs/>
          <w:i w:val="0"/>
          <w:iCs w:val="0"/>
          <w:color w:val="auto"/>
          <w:sz w:val="24"/>
          <w:szCs w:val="24"/>
          <w:highlight w:val="none"/>
          <w:u w:val="single"/>
        </w:rPr>
        <w:t xml:space="preserve">                                           </w:t>
      </w:r>
    </w:p>
    <w:p w14:paraId="19EA41FC">
      <w:pPr>
        <w:spacing w:line="360" w:lineRule="auto"/>
        <w:ind w:left="288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网</w:t>
      </w:r>
      <w:r>
        <w:rPr>
          <w:rFonts w:hint="eastAsia" w:ascii="宋体" w:hAnsi="宋体" w:cs="宋体"/>
          <w:b/>
          <w:bCs/>
          <w:i w:val="0"/>
          <w:iCs w:val="0"/>
          <w:color w:val="auto"/>
          <w:sz w:val="24"/>
          <w:szCs w:val="24"/>
          <w:highlight w:val="none"/>
        </w:rPr>
        <w:tab/>
      </w:r>
      <w:r>
        <w:rPr>
          <w:rFonts w:hint="eastAsia" w:ascii="宋体" w:hAnsi="宋体" w:cs="宋体"/>
          <w:b/>
          <w:bCs/>
          <w:i w:val="0"/>
          <w:iCs w:val="0"/>
          <w:color w:val="auto"/>
          <w:sz w:val="24"/>
          <w:szCs w:val="24"/>
          <w:highlight w:val="none"/>
        </w:rPr>
        <w:t>址：</w:t>
      </w:r>
      <w:r>
        <w:rPr>
          <w:rFonts w:hint="eastAsia" w:ascii="宋体" w:hAnsi="宋体" w:cs="宋体"/>
          <w:b/>
          <w:bCs/>
          <w:i w:val="0"/>
          <w:iCs w:val="0"/>
          <w:color w:val="auto"/>
          <w:sz w:val="24"/>
          <w:szCs w:val="24"/>
          <w:highlight w:val="none"/>
          <w:u w:val="single"/>
        </w:rPr>
        <w:t xml:space="preserve">                                           </w:t>
      </w:r>
    </w:p>
    <w:p w14:paraId="08F5E926">
      <w:pPr>
        <w:spacing w:line="360" w:lineRule="auto"/>
        <w:ind w:left="288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电</w:t>
      </w:r>
      <w:r>
        <w:rPr>
          <w:rFonts w:hint="eastAsia" w:ascii="宋体" w:hAnsi="宋体" w:cs="宋体"/>
          <w:b/>
          <w:bCs/>
          <w:i w:val="0"/>
          <w:iCs w:val="0"/>
          <w:color w:val="auto"/>
          <w:sz w:val="24"/>
          <w:szCs w:val="24"/>
          <w:highlight w:val="none"/>
        </w:rPr>
        <w:tab/>
      </w:r>
      <w:r>
        <w:rPr>
          <w:rFonts w:hint="eastAsia" w:ascii="宋体" w:hAnsi="宋体" w:cs="宋体"/>
          <w:b/>
          <w:bCs/>
          <w:i w:val="0"/>
          <w:iCs w:val="0"/>
          <w:color w:val="auto"/>
          <w:sz w:val="24"/>
          <w:szCs w:val="24"/>
          <w:highlight w:val="none"/>
        </w:rPr>
        <w:t>话：</w:t>
      </w:r>
      <w:r>
        <w:rPr>
          <w:rFonts w:hint="eastAsia" w:ascii="宋体" w:hAnsi="宋体" w:cs="宋体"/>
          <w:b/>
          <w:bCs/>
          <w:i w:val="0"/>
          <w:iCs w:val="0"/>
          <w:color w:val="auto"/>
          <w:sz w:val="24"/>
          <w:szCs w:val="24"/>
          <w:highlight w:val="none"/>
          <w:u w:val="single"/>
        </w:rPr>
        <w:t xml:space="preserve">                                           </w:t>
      </w:r>
    </w:p>
    <w:p w14:paraId="06A2F5B4">
      <w:pPr>
        <w:spacing w:line="360" w:lineRule="auto"/>
        <w:ind w:left="288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传</w:t>
      </w:r>
      <w:r>
        <w:rPr>
          <w:rFonts w:hint="eastAsia" w:ascii="宋体" w:hAnsi="宋体" w:cs="宋体"/>
          <w:b/>
          <w:bCs/>
          <w:i w:val="0"/>
          <w:iCs w:val="0"/>
          <w:color w:val="auto"/>
          <w:sz w:val="24"/>
          <w:szCs w:val="24"/>
          <w:highlight w:val="none"/>
        </w:rPr>
        <w:tab/>
      </w:r>
      <w:r>
        <w:rPr>
          <w:rFonts w:hint="eastAsia" w:ascii="宋体" w:hAnsi="宋体" w:cs="宋体"/>
          <w:b/>
          <w:bCs/>
          <w:i w:val="0"/>
          <w:iCs w:val="0"/>
          <w:color w:val="auto"/>
          <w:sz w:val="24"/>
          <w:szCs w:val="24"/>
          <w:highlight w:val="none"/>
        </w:rPr>
        <w:t>真：</w:t>
      </w:r>
      <w:r>
        <w:rPr>
          <w:rFonts w:hint="eastAsia" w:ascii="宋体" w:hAnsi="宋体" w:cs="宋体"/>
          <w:b/>
          <w:bCs/>
          <w:i w:val="0"/>
          <w:iCs w:val="0"/>
          <w:color w:val="auto"/>
          <w:sz w:val="24"/>
          <w:szCs w:val="24"/>
          <w:highlight w:val="none"/>
          <w:u w:val="single"/>
        </w:rPr>
        <w:t xml:space="preserve">                                           </w:t>
      </w:r>
    </w:p>
    <w:p w14:paraId="316AD0F2">
      <w:pPr>
        <w:spacing w:line="360" w:lineRule="auto"/>
        <w:ind w:left="288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邮政编码：</w:t>
      </w:r>
      <w:r>
        <w:rPr>
          <w:rFonts w:hint="eastAsia" w:ascii="宋体" w:hAnsi="宋体" w:cs="宋体"/>
          <w:b/>
          <w:bCs/>
          <w:i w:val="0"/>
          <w:iCs w:val="0"/>
          <w:color w:val="auto"/>
          <w:sz w:val="24"/>
          <w:szCs w:val="24"/>
          <w:highlight w:val="none"/>
          <w:u w:val="single"/>
        </w:rPr>
        <w:t xml:space="preserve">                                         </w:t>
      </w:r>
    </w:p>
    <w:p w14:paraId="5C6C354C">
      <w:pPr>
        <w:spacing w:line="360" w:lineRule="auto"/>
        <w:ind w:left="288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日  期：</w:t>
      </w:r>
      <w:r>
        <w:rPr>
          <w:rFonts w:hint="eastAsia" w:ascii="宋体" w:hAnsi="宋体" w:cs="宋体"/>
          <w:b/>
          <w:bCs/>
          <w:i w:val="0"/>
          <w:iCs w:val="0"/>
          <w:color w:val="auto"/>
          <w:sz w:val="24"/>
          <w:szCs w:val="24"/>
          <w:highlight w:val="none"/>
          <w:u w:val="single"/>
        </w:rPr>
        <w:t xml:space="preserve">       </w:t>
      </w:r>
      <w:r>
        <w:rPr>
          <w:rFonts w:hint="eastAsia" w:ascii="宋体" w:hAnsi="宋体" w:cs="宋体"/>
          <w:b/>
          <w:bCs/>
          <w:i w:val="0"/>
          <w:iCs w:val="0"/>
          <w:color w:val="auto"/>
          <w:sz w:val="24"/>
          <w:szCs w:val="24"/>
          <w:highlight w:val="none"/>
        </w:rPr>
        <w:t>年</w:t>
      </w:r>
      <w:r>
        <w:rPr>
          <w:rFonts w:hint="eastAsia" w:ascii="宋体" w:hAnsi="宋体" w:cs="宋体"/>
          <w:b/>
          <w:bCs/>
          <w:i w:val="0"/>
          <w:iCs w:val="0"/>
          <w:color w:val="auto"/>
          <w:sz w:val="24"/>
          <w:szCs w:val="24"/>
          <w:highlight w:val="none"/>
          <w:u w:val="single"/>
        </w:rPr>
        <w:t xml:space="preserve">    </w:t>
      </w:r>
      <w:r>
        <w:rPr>
          <w:rFonts w:hint="eastAsia" w:ascii="宋体" w:hAnsi="宋体" w:cs="宋体"/>
          <w:b/>
          <w:bCs/>
          <w:i w:val="0"/>
          <w:iCs w:val="0"/>
          <w:color w:val="auto"/>
          <w:sz w:val="24"/>
          <w:szCs w:val="24"/>
          <w:highlight w:val="none"/>
        </w:rPr>
        <w:t>月</w:t>
      </w:r>
      <w:r>
        <w:rPr>
          <w:rFonts w:hint="eastAsia" w:ascii="宋体" w:hAnsi="宋体" w:cs="宋体"/>
          <w:b/>
          <w:bCs/>
          <w:i w:val="0"/>
          <w:iCs w:val="0"/>
          <w:color w:val="auto"/>
          <w:sz w:val="24"/>
          <w:szCs w:val="24"/>
          <w:highlight w:val="none"/>
          <w:u w:val="single"/>
        </w:rPr>
        <w:t xml:space="preserve">    </w:t>
      </w:r>
      <w:r>
        <w:rPr>
          <w:rFonts w:hint="eastAsia" w:ascii="宋体" w:hAnsi="宋体" w:cs="宋体"/>
          <w:b/>
          <w:bCs/>
          <w:i w:val="0"/>
          <w:iCs w:val="0"/>
          <w:color w:val="auto"/>
          <w:sz w:val="24"/>
          <w:szCs w:val="24"/>
          <w:highlight w:val="none"/>
        </w:rPr>
        <w:t>日</w:t>
      </w:r>
    </w:p>
    <w:p w14:paraId="3ABB85C3">
      <w:pPr>
        <w:spacing w:line="360" w:lineRule="auto"/>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 xml:space="preserve"> </w:t>
      </w:r>
    </w:p>
    <w:p w14:paraId="7B6CA13D">
      <w:pPr>
        <w:spacing w:line="240" w:lineRule="exact"/>
        <w:rPr>
          <w:rFonts w:ascii="宋体" w:hAnsi="宋体" w:cs="宋体"/>
          <w:b/>
          <w:bCs/>
          <w:i w:val="0"/>
          <w:iCs w:val="0"/>
          <w:color w:val="auto"/>
          <w:sz w:val="44"/>
          <w:szCs w:val="44"/>
          <w:highlight w:val="none"/>
        </w:rPr>
      </w:pPr>
    </w:p>
    <w:p w14:paraId="700B97FA">
      <w:pPr>
        <w:bidi w:val="0"/>
        <w:rPr>
          <w:rFonts w:ascii="宋体" w:hAnsi="宋体" w:cs="宋体"/>
          <w:i w:val="0"/>
          <w:iCs w:val="0"/>
          <w:color w:val="auto"/>
          <w:highlight w:val="none"/>
        </w:rPr>
      </w:pPr>
      <w:bookmarkStart w:id="268" w:name="_Toc17119"/>
      <w:bookmarkEnd w:id="268"/>
      <w:bookmarkStart w:id="269" w:name="_Toc32410"/>
      <w:bookmarkStart w:id="270" w:name="_Toc4610"/>
      <w:r>
        <w:rPr>
          <w:rFonts w:hint="eastAsia" w:ascii="黑体" w:hAnsi="黑体" w:eastAsia="黑体" w:cs="黑体"/>
          <w:b/>
          <w:bCs/>
          <w:sz w:val="28"/>
          <w:szCs w:val="28"/>
        </w:rPr>
        <w:t>格式3：</w:t>
      </w:r>
      <w:bookmarkEnd w:id="269"/>
      <w:bookmarkEnd w:id="270"/>
    </w:p>
    <w:p w14:paraId="460A339F">
      <w:pPr>
        <w:spacing w:line="200" w:lineRule="exact"/>
        <w:rPr>
          <w:rFonts w:ascii="宋体" w:hAnsi="宋体" w:cs="宋体"/>
          <w:i w:val="0"/>
          <w:iCs w:val="0"/>
          <w:color w:val="auto"/>
          <w:sz w:val="28"/>
          <w:szCs w:val="28"/>
          <w:highlight w:val="none"/>
        </w:rPr>
      </w:pPr>
    </w:p>
    <w:p w14:paraId="6DCA4F58">
      <w:pPr>
        <w:jc w:val="center"/>
        <w:rPr>
          <w:rFonts w:hint="eastAsia"/>
          <w:b/>
          <w:bCs/>
          <w:sz w:val="28"/>
          <w:szCs w:val="28"/>
        </w:rPr>
      </w:pPr>
      <w:bookmarkStart w:id="271" w:name="_Toc3775"/>
      <w:bookmarkStart w:id="272" w:name="_Toc16863"/>
      <w:bookmarkStart w:id="273" w:name="_Toc12750"/>
      <w:r>
        <w:rPr>
          <w:rFonts w:hint="eastAsia"/>
          <w:b/>
          <w:bCs/>
          <w:sz w:val="28"/>
          <w:szCs w:val="28"/>
        </w:rPr>
        <w:t>法定代表人(单位负责人)身份证明</w:t>
      </w:r>
      <w:bookmarkEnd w:id="271"/>
      <w:r>
        <w:rPr>
          <w:rFonts w:hint="eastAsia"/>
          <w:b/>
          <w:bCs/>
          <w:sz w:val="28"/>
          <w:szCs w:val="28"/>
        </w:rPr>
        <w:t>书</w:t>
      </w:r>
      <w:bookmarkEnd w:id="272"/>
      <w:bookmarkEnd w:id="273"/>
    </w:p>
    <w:p w14:paraId="709702E0">
      <w:pPr>
        <w:spacing w:line="200" w:lineRule="exact"/>
        <w:rPr>
          <w:rFonts w:ascii="宋体" w:hAnsi="宋体" w:cs="宋体"/>
          <w:i w:val="0"/>
          <w:iCs w:val="0"/>
          <w:color w:val="auto"/>
          <w:highlight w:val="none"/>
        </w:rPr>
      </w:pPr>
      <w:r>
        <w:rPr>
          <w:rFonts w:hint="eastAsia" w:ascii="宋体" w:hAnsi="宋体" w:cs="宋体"/>
          <w:i w:val="0"/>
          <w:iCs w:val="0"/>
          <w:color w:val="auto"/>
          <w:highlight w:val="none"/>
        </w:rPr>
        <w:t xml:space="preserve"> </w:t>
      </w:r>
    </w:p>
    <w:p w14:paraId="060192CF">
      <w:pPr>
        <w:spacing w:line="200" w:lineRule="exact"/>
        <w:rPr>
          <w:rFonts w:ascii="宋体" w:hAnsi="宋体" w:cs="宋体"/>
          <w:i w:val="0"/>
          <w:iCs w:val="0"/>
          <w:color w:val="auto"/>
          <w:highlight w:val="none"/>
        </w:rPr>
      </w:pPr>
      <w:r>
        <w:rPr>
          <w:rFonts w:hint="eastAsia" w:ascii="宋体" w:hAnsi="宋体" w:cs="宋体"/>
          <w:i w:val="0"/>
          <w:iCs w:val="0"/>
          <w:color w:val="auto"/>
          <w:highlight w:val="none"/>
        </w:rPr>
        <w:t xml:space="preserve"> </w:t>
      </w:r>
    </w:p>
    <w:p w14:paraId="4C8CEF5A">
      <w:pPr>
        <w:spacing w:line="200" w:lineRule="exact"/>
        <w:rPr>
          <w:rFonts w:ascii="宋体" w:hAnsi="宋体" w:cs="宋体"/>
          <w:i w:val="0"/>
          <w:iCs w:val="0"/>
          <w:color w:val="auto"/>
          <w:highlight w:val="none"/>
        </w:rPr>
      </w:pPr>
      <w:r>
        <w:rPr>
          <w:rFonts w:hint="eastAsia" w:ascii="宋体" w:hAnsi="宋体" w:cs="宋体"/>
          <w:i w:val="0"/>
          <w:iCs w:val="0"/>
          <w:color w:val="auto"/>
          <w:highlight w:val="none"/>
        </w:rPr>
        <w:t xml:space="preserve"> </w:t>
      </w:r>
    </w:p>
    <w:p w14:paraId="1E8F69AB">
      <w:pPr>
        <w:autoSpaceDE w:val="0"/>
        <w:autoSpaceDN w:val="0"/>
        <w:adjustRightInd w:val="0"/>
        <w:spacing w:line="360" w:lineRule="auto"/>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投标人名称：</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 xml:space="preserve"> </w:t>
      </w:r>
    </w:p>
    <w:p w14:paraId="5036A1B7">
      <w:pPr>
        <w:autoSpaceDE w:val="0"/>
        <w:autoSpaceDN w:val="0"/>
        <w:adjustRightInd w:val="0"/>
        <w:spacing w:line="360" w:lineRule="auto"/>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单位性质：</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 xml:space="preserve"> </w:t>
      </w:r>
    </w:p>
    <w:p w14:paraId="0EE9D50E">
      <w:pPr>
        <w:autoSpaceDE w:val="0"/>
        <w:autoSpaceDN w:val="0"/>
        <w:adjustRightInd w:val="0"/>
        <w:spacing w:line="360" w:lineRule="auto"/>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地    址：</w:t>
      </w:r>
      <w:r>
        <w:rPr>
          <w:rFonts w:hint="eastAsia" w:ascii="宋体" w:hAnsi="宋体" w:cs="宋体"/>
          <w:i w:val="0"/>
          <w:iCs w:val="0"/>
          <w:color w:val="auto"/>
          <w:sz w:val="24"/>
          <w:highlight w:val="none"/>
          <w:u w:val="single"/>
        </w:rPr>
        <w:t xml:space="preserve">                        </w:t>
      </w:r>
    </w:p>
    <w:p w14:paraId="3D822A0D">
      <w:pPr>
        <w:autoSpaceDE w:val="0"/>
        <w:autoSpaceDN w:val="0"/>
        <w:adjustRightInd w:val="0"/>
        <w:spacing w:line="360" w:lineRule="auto"/>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成立时间：</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年</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月</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日</w:t>
      </w:r>
    </w:p>
    <w:p w14:paraId="5C8ACC33">
      <w:pPr>
        <w:autoSpaceDE w:val="0"/>
        <w:autoSpaceDN w:val="0"/>
        <w:adjustRightInd w:val="0"/>
        <w:spacing w:line="360" w:lineRule="auto"/>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经营期限：</w:t>
      </w:r>
      <w:r>
        <w:rPr>
          <w:rFonts w:hint="eastAsia" w:ascii="宋体" w:hAnsi="宋体" w:cs="宋体"/>
          <w:i w:val="0"/>
          <w:iCs w:val="0"/>
          <w:color w:val="auto"/>
          <w:sz w:val="24"/>
          <w:highlight w:val="none"/>
          <w:u w:val="single"/>
        </w:rPr>
        <w:t xml:space="preserve">                         </w:t>
      </w:r>
    </w:p>
    <w:p w14:paraId="48987D1F">
      <w:pPr>
        <w:spacing w:line="360" w:lineRule="auto"/>
        <w:ind w:firstLine="480" w:firstLineChars="200"/>
        <w:rPr>
          <w:rFonts w:ascii="宋体" w:hAnsi="宋体" w:cs="宋体"/>
          <w:i w:val="0"/>
          <w:iCs w:val="0"/>
          <w:color w:val="auto"/>
          <w:sz w:val="24"/>
          <w:szCs w:val="24"/>
          <w:highlight w:val="none"/>
        </w:rPr>
      </w:pPr>
    </w:p>
    <w:p w14:paraId="0300954F">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姓名：</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性别：</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年龄：</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职务：</w:t>
      </w:r>
      <w:r>
        <w:rPr>
          <w:rFonts w:hint="eastAsia" w:ascii="宋体" w:hAnsi="宋体" w:cs="宋体"/>
          <w:i w:val="0"/>
          <w:iCs w:val="0"/>
          <w:color w:val="auto"/>
          <w:sz w:val="24"/>
          <w:szCs w:val="24"/>
          <w:highlight w:val="none"/>
          <w:u w:val="single"/>
        </w:rPr>
        <w:t xml:space="preserve">          </w:t>
      </w:r>
    </w:p>
    <w:p w14:paraId="01142D9D">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系</w:t>
      </w:r>
      <w:r>
        <w:rPr>
          <w:rFonts w:hint="eastAsia" w:ascii="宋体" w:hAnsi="宋体" w:cs="宋体"/>
          <w:i w:val="0"/>
          <w:iCs w:val="0"/>
          <w:color w:val="auto"/>
          <w:sz w:val="24"/>
          <w:szCs w:val="24"/>
          <w:highlight w:val="none"/>
          <w:u w:val="single"/>
        </w:rPr>
        <w:tab/>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(投标人名称)的法定代表人(单位负责人)。</w:t>
      </w:r>
    </w:p>
    <w:p w14:paraId="33100712">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特此证明。</w:t>
      </w:r>
    </w:p>
    <w:p w14:paraId="7F0F816A">
      <w:pPr>
        <w:spacing w:line="480" w:lineRule="auto"/>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 xml:space="preserve"> </w:t>
      </w:r>
    </w:p>
    <w:p w14:paraId="56CC92D1">
      <w:pPr>
        <w:spacing w:line="48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附：法定代表人(单位负责人)身份证复印件。</w:t>
      </w:r>
    </w:p>
    <w:p w14:paraId="0A344AE5">
      <w:pPr>
        <w:spacing w:line="360" w:lineRule="auto"/>
        <w:ind w:left="4480"/>
        <w:jc w:val="both"/>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 xml:space="preserve">  </w:t>
      </w:r>
    </w:p>
    <w:p w14:paraId="370B9F10">
      <w:pPr>
        <w:spacing w:line="360" w:lineRule="auto"/>
        <w:ind w:left="4480"/>
        <w:jc w:val="both"/>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投标人：</w:t>
      </w:r>
      <w:r>
        <w:rPr>
          <w:rFonts w:hint="eastAsia" w:ascii="宋体" w:hAnsi="宋体" w:cs="宋体"/>
          <w:b/>
          <w:i w:val="0"/>
          <w:iCs w:val="0"/>
          <w:color w:val="auto"/>
          <w:sz w:val="24"/>
          <w:szCs w:val="24"/>
          <w:highlight w:val="none"/>
          <w:u w:val="single"/>
        </w:rPr>
        <w:tab/>
      </w:r>
      <w:r>
        <w:rPr>
          <w:rFonts w:hint="eastAsia" w:ascii="宋体" w:hAnsi="宋体" w:cs="宋体"/>
          <w:b/>
          <w:i w:val="0"/>
          <w:iCs w:val="0"/>
          <w:color w:val="auto"/>
          <w:sz w:val="24"/>
          <w:szCs w:val="24"/>
          <w:highlight w:val="none"/>
          <w:u w:val="single"/>
        </w:rPr>
        <w:t xml:space="preserve">           </w:t>
      </w:r>
      <w:r>
        <w:rPr>
          <w:rFonts w:hint="eastAsia" w:ascii="宋体" w:hAnsi="宋体" w:cs="宋体"/>
          <w:b/>
          <w:i w:val="0"/>
          <w:iCs w:val="0"/>
          <w:color w:val="auto"/>
          <w:sz w:val="24"/>
          <w:szCs w:val="24"/>
          <w:highlight w:val="none"/>
        </w:rPr>
        <w:t>(加盖单位公章)</w:t>
      </w:r>
    </w:p>
    <w:p w14:paraId="0BBC6EBE">
      <w:pPr>
        <w:spacing w:line="20" w:lineRule="exact"/>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 xml:space="preserve"> </w:t>
      </w:r>
    </w:p>
    <w:p w14:paraId="5CCC4BEB">
      <w:pPr>
        <w:spacing w:line="200" w:lineRule="exact"/>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 xml:space="preserve"> </w:t>
      </w:r>
    </w:p>
    <w:p w14:paraId="1BD1DCEF">
      <w:pPr>
        <w:spacing w:line="200" w:lineRule="exact"/>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 xml:space="preserve"> </w:t>
      </w:r>
    </w:p>
    <w:p w14:paraId="38D1557C">
      <w:pPr>
        <w:wordWrap w:val="0"/>
        <w:ind w:right="480"/>
        <w:jc w:val="center"/>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 xml:space="preserve">                         </w:t>
      </w:r>
    </w:p>
    <w:p w14:paraId="3D1C1D20">
      <w:pPr>
        <w:wordWrap w:val="0"/>
        <w:ind w:right="480"/>
        <w:jc w:val="center"/>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 xml:space="preserve">                       日  期：</w:t>
      </w:r>
      <w:r>
        <w:rPr>
          <w:rFonts w:hint="eastAsia" w:ascii="宋体" w:hAnsi="宋体" w:cs="宋体"/>
          <w:b/>
          <w:i w:val="0"/>
          <w:iCs w:val="0"/>
          <w:color w:val="auto"/>
          <w:sz w:val="24"/>
          <w:szCs w:val="24"/>
          <w:highlight w:val="none"/>
          <w:u w:val="single"/>
        </w:rPr>
        <w:t xml:space="preserve">     </w:t>
      </w:r>
      <w:r>
        <w:rPr>
          <w:rFonts w:hint="eastAsia" w:ascii="宋体" w:hAnsi="宋体" w:cs="宋体"/>
          <w:b/>
          <w:i w:val="0"/>
          <w:iCs w:val="0"/>
          <w:color w:val="auto"/>
          <w:sz w:val="24"/>
          <w:szCs w:val="24"/>
          <w:highlight w:val="none"/>
        </w:rPr>
        <w:t>年</w:t>
      </w:r>
      <w:r>
        <w:rPr>
          <w:rFonts w:hint="eastAsia" w:ascii="宋体" w:hAnsi="宋体" w:cs="宋体"/>
          <w:b/>
          <w:i w:val="0"/>
          <w:iCs w:val="0"/>
          <w:color w:val="auto"/>
          <w:sz w:val="24"/>
          <w:szCs w:val="24"/>
          <w:highlight w:val="none"/>
          <w:u w:val="single"/>
        </w:rPr>
        <w:t xml:space="preserve">   </w:t>
      </w:r>
      <w:r>
        <w:rPr>
          <w:rFonts w:hint="eastAsia" w:ascii="宋体" w:hAnsi="宋体" w:cs="宋体"/>
          <w:b/>
          <w:i w:val="0"/>
          <w:iCs w:val="0"/>
          <w:color w:val="auto"/>
          <w:sz w:val="24"/>
          <w:szCs w:val="24"/>
          <w:highlight w:val="none"/>
        </w:rPr>
        <w:t>月</w:t>
      </w:r>
      <w:r>
        <w:rPr>
          <w:rFonts w:hint="eastAsia" w:ascii="宋体" w:hAnsi="宋体" w:cs="宋体"/>
          <w:b/>
          <w:i w:val="0"/>
          <w:iCs w:val="0"/>
          <w:color w:val="auto"/>
          <w:sz w:val="24"/>
          <w:szCs w:val="24"/>
          <w:highlight w:val="none"/>
          <w:u w:val="single"/>
        </w:rPr>
        <w:t xml:space="preserve">   </w:t>
      </w:r>
      <w:r>
        <w:rPr>
          <w:rFonts w:hint="eastAsia" w:ascii="宋体" w:hAnsi="宋体" w:cs="宋体"/>
          <w:b/>
          <w:i w:val="0"/>
          <w:iCs w:val="0"/>
          <w:color w:val="auto"/>
          <w:sz w:val="24"/>
          <w:szCs w:val="24"/>
          <w:highlight w:val="none"/>
        </w:rPr>
        <w:t>日</w:t>
      </w:r>
    </w:p>
    <w:p w14:paraId="19A01E79">
      <w:pPr>
        <w:spacing w:line="360" w:lineRule="auto"/>
        <w:ind w:firstLine="5760" w:firstLineChars="2400"/>
        <w:jc w:val="both"/>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 xml:space="preserve"> </w:t>
      </w:r>
    </w:p>
    <w:p w14:paraId="3F66D68D">
      <w:pPr>
        <w:spacing w:line="20" w:lineRule="exact"/>
        <w:rPr>
          <w:rFonts w:ascii="宋体" w:hAnsi="宋体" w:cs="宋体"/>
          <w:b/>
          <w:bCs/>
          <w:i w:val="0"/>
          <w:iCs w:val="0"/>
          <w:color w:val="auto"/>
          <w:sz w:val="44"/>
          <w:szCs w:val="44"/>
          <w:highlight w:val="none"/>
        </w:rPr>
      </w:pPr>
      <w:r>
        <w:rPr>
          <w:rFonts w:hint="eastAsia" w:ascii="宋体" w:hAnsi="宋体" w:cs="宋体"/>
          <w:i w:val="0"/>
          <w:iCs w:val="0"/>
          <w:color w:val="auto"/>
          <w:highlight w:val="none"/>
        </w:rPr>
        <w:t xml:space="preserve"> </w:t>
      </w:r>
    </w:p>
    <w:tbl>
      <w:tblPr>
        <w:tblStyle w:val="47"/>
        <w:tblW w:w="96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7"/>
      </w:tblGrid>
      <w:tr w14:paraId="3CC78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6" w:hRule="atLeast"/>
          <w:jc w:val="center"/>
        </w:trPr>
        <w:tc>
          <w:tcPr>
            <w:tcW w:w="9627" w:type="dxa"/>
            <w:vAlign w:val="center"/>
          </w:tcPr>
          <w:p w14:paraId="39377C9D">
            <w:pPr>
              <w:spacing w:before="240" w:beforeLines="100" w:after="240" w:afterLines="100" w:line="60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法定代表人(单位负责人)身份证正反面</w:t>
            </w:r>
          </w:p>
        </w:tc>
      </w:tr>
    </w:tbl>
    <w:p w14:paraId="790B9623">
      <w:pPr>
        <w:bidi w:val="0"/>
        <w:rPr>
          <w:rFonts w:hint="eastAsia" w:ascii="黑体" w:hAnsi="黑体" w:eastAsia="黑体" w:cs="黑体"/>
          <w:b/>
          <w:bCs/>
          <w:sz w:val="28"/>
          <w:szCs w:val="28"/>
        </w:rPr>
      </w:pPr>
      <w:bookmarkStart w:id="274" w:name="_Toc17729"/>
      <w:bookmarkStart w:id="275" w:name="_Toc16087"/>
      <w:r>
        <w:rPr>
          <w:rFonts w:hint="eastAsia" w:ascii="黑体" w:hAnsi="黑体" w:eastAsia="黑体" w:cs="黑体"/>
          <w:b/>
          <w:bCs/>
          <w:sz w:val="28"/>
          <w:szCs w:val="28"/>
        </w:rPr>
        <w:t>格式4：</w:t>
      </w:r>
      <w:bookmarkEnd w:id="274"/>
      <w:bookmarkEnd w:id="275"/>
    </w:p>
    <w:p w14:paraId="190981A6">
      <w:pPr>
        <w:spacing w:line="240" w:lineRule="exact"/>
        <w:rPr>
          <w:rFonts w:ascii="宋体" w:hAnsi="宋体" w:cs="宋体"/>
          <w:b/>
          <w:bCs/>
          <w:i w:val="0"/>
          <w:iCs w:val="0"/>
          <w:color w:val="auto"/>
          <w:sz w:val="44"/>
          <w:szCs w:val="44"/>
          <w:highlight w:val="none"/>
        </w:rPr>
      </w:pPr>
    </w:p>
    <w:p w14:paraId="2116BC45">
      <w:pPr>
        <w:jc w:val="center"/>
        <w:rPr>
          <w:rFonts w:hint="eastAsia"/>
          <w:b/>
          <w:bCs/>
          <w:sz w:val="28"/>
          <w:szCs w:val="28"/>
        </w:rPr>
      </w:pPr>
      <w:bookmarkStart w:id="276" w:name="_Toc15398"/>
      <w:bookmarkEnd w:id="276"/>
      <w:bookmarkStart w:id="277" w:name="_Toc31847"/>
      <w:bookmarkEnd w:id="277"/>
      <w:bookmarkStart w:id="278" w:name="_Toc21952"/>
      <w:bookmarkStart w:id="279" w:name="_Toc7774"/>
      <w:r>
        <w:rPr>
          <w:rFonts w:hint="eastAsia"/>
          <w:b/>
          <w:bCs/>
          <w:sz w:val="28"/>
          <w:szCs w:val="28"/>
        </w:rPr>
        <w:t>授权委托书</w:t>
      </w:r>
      <w:bookmarkEnd w:id="278"/>
      <w:bookmarkEnd w:id="279"/>
    </w:p>
    <w:p w14:paraId="130ABA60">
      <w:pPr>
        <w:spacing w:line="200" w:lineRule="exact"/>
        <w:rPr>
          <w:rFonts w:ascii="宋体" w:hAnsi="宋体" w:cs="宋体"/>
          <w:i w:val="0"/>
          <w:iCs w:val="0"/>
          <w:color w:val="auto"/>
          <w:highlight w:val="none"/>
        </w:rPr>
      </w:pPr>
      <w:r>
        <w:rPr>
          <w:rFonts w:hint="eastAsia" w:ascii="宋体" w:hAnsi="宋体" w:cs="宋体"/>
          <w:i w:val="0"/>
          <w:iCs w:val="0"/>
          <w:color w:val="auto"/>
          <w:highlight w:val="none"/>
        </w:rPr>
        <w:t xml:space="preserve"> </w:t>
      </w:r>
    </w:p>
    <w:p w14:paraId="575D1659">
      <w:pPr>
        <w:spacing w:line="200" w:lineRule="exact"/>
        <w:rPr>
          <w:rFonts w:ascii="宋体" w:hAnsi="宋体" w:cs="宋体"/>
          <w:i w:val="0"/>
          <w:iCs w:val="0"/>
          <w:color w:val="auto"/>
          <w:highlight w:val="none"/>
        </w:rPr>
      </w:pPr>
      <w:r>
        <w:rPr>
          <w:rFonts w:hint="eastAsia" w:ascii="宋体" w:hAnsi="宋体" w:cs="宋体"/>
          <w:i w:val="0"/>
          <w:iCs w:val="0"/>
          <w:color w:val="auto"/>
          <w:highlight w:val="none"/>
        </w:rPr>
        <w:t xml:space="preserve"> </w:t>
      </w:r>
    </w:p>
    <w:p w14:paraId="3C3C914F">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本人</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(姓名)系</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(投标人名称)的法定代表人(单位负责人)，现委托</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(姓名)为我方代理人。代理人根据授权，以我方名义签署、澄清、说明、补正、递交、撤回、修改</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（项目名称）投标文件、签订合同和处理有关事宜，其法律后果由我方承担。</w:t>
      </w:r>
    </w:p>
    <w:p w14:paraId="10DCC792">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代理人无转委托权。</w:t>
      </w:r>
    </w:p>
    <w:p w14:paraId="483909BF">
      <w:pPr>
        <w:spacing w:line="360" w:lineRule="auto"/>
        <w:ind w:firstLine="480" w:firstLineChars="200"/>
        <w:rPr>
          <w:rFonts w:ascii="宋体" w:hAnsi="宋体" w:cs="宋体"/>
          <w:i w:val="0"/>
          <w:iCs w:val="0"/>
          <w:color w:val="auto"/>
          <w:sz w:val="24"/>
          <w:szCs w:val="24"/>
          <w:highlight w:val="none"/>
        </w:rPr>
      </w:pPr>
    </w:p>
    <w:p w14:paraId="7C870AFE">
      <w:pPr>
        <w:spacing w:before="468" w:line="360" w:lineRule="auto"/>
        <w:ind w:firstLine="3373" w:firstLineChars="1400"/>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投 标 人：</w:t>
      </w:r>
      <w:r>
        <w:rPr>
          <w:rFonts w:hint="eastAsia" w:ascii="宋体" w:hAnsi="宋体" w:cs="宋体"/>
          <w:b/>
          <w:i w:val="0"/>
          <w:iCs w:val="0"/>
          <w:color w:val="auto"/>
          <w:sz w:val="24"/>
          <w:szCs w:val="24"/>
          <w:highlight w:val="none"/>
          <w:u w:val="single"/>
        </w:rPr>
        <w:t xml:space="preserve">                        </w:t>
      </w:r>
      <w:r>
        <w:rPr>
          <w:rFonts w:hint="eastAsia" w:ascii="宋体" w:hAnsi="宋体" w:cs="宋体"/>
          <w:b/>
          <w:i w:val="0"/>
          <w:iCs w:val="0"/>
          <w:color w:val="auto"/>
          <w:sz w:val="24"/>
          <w:szCs w:val="24"/>
          <w:highlight w:val="none"/>
        </w:rPr>
        <w:t>(加盖单位公章)</w:t>
      </w:r>
    </w:p>
    <w:p w14:paraId="3469F03B">
      <w:pPr>
        <w:spacing w:before="468" w:line="360" w:lineRule="auto"/>
        <w:ind w:firstLine="3373" w:firstLineChars="1400"/>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法定代表人(单位负责人)：</w:t>
      </w:r>
      <w:r>
        <w:rPr>
          <w:rFonts w:hint="eastAsia" w:ascii="宋体" w:hAnsi="宋体" w:cs="宋体"/>
          <w:b/>
          <w:i w:val="0"/>
          <w:iCs w:val="0"/>
          <w:color w:val="auto"/>
          <w:sz w:val="24"/>
          <w:szCs w:val="24"/>
          <w:highlight w:val="none"/>
          <w:u w:val="single"/>
        </w:rPr>
        <w:t xml:space="preserve">           </w:t>
      </w:r>
      <w:r>
        <w:rPr>
          <w:rFonts w:hint="eastAsia" w:ascii="宋体" w:hAnsi="宋体" w:cs="宋体"/>
          <w:b/>
          <w:i w:val="0"/>
          <w:iCs w:val="0"/>
          <w:color w:val="auto"/>
          <w:sz w:val="24"/>
          <w:szCs w:val="24"/>
          <w:highlight w:val="none"/>
        </w:rPr>
        <w:t>(签字或盖章)</w:t>
      </w:r>
    </w:p>
    <w:p w14:paraId="66B83C20">
      <w:pPr>
        <w:autoSpaceDE w:val="0"/>
        <w:autoSpaceDN w:val="0"/>
        <w:adjustRightInd w:val="0"/>
        <w:spacing w:line="360" w:lineRule="auto"/>
        <w:ind w:firstLine="3373" w:firstLineChars="1400"/>
        <w:rPr>
          <w:rFonts w:ascii="宋体" w:hAnsi="宋体" w:cs="宋体"/>
          <w:b/>
          <w:bCs/>
          <w:i w:val="0"/>
          <w:iCs w:val="0"/>
          <w:color w:val="auto"/>
          <w:sz w:val="24"/>
          <w:szCs w:val="24"/>
          <w:highlight w:val="none"/>
          <w:u w:val="single"/>
        </w:rPr>
      </w:pPr>
      <w:r>
        <w:rPr>
          <w:rFonts w:hint="eastAsia" w:ascii="宋体" w:hAnsi="宋体" w:cs="宋体"/>
          <w:b/>
          <w:bCs/>
          <w:i w:val="0"/>
          <w:iCs w:val="0"/>
          <w:color w:val="auto"/>
          <w:sz w:val="24"/>
          <w:szCs w:val="24"/>
          <w:highlight w:val="none"/>
        </w:rPr>
        <w:t>身份证号码：</w:t>
      </w:r>
      <w:r>
        <w:rPr>
          <w:rFonts w:hint="eastAsia" w:ascii="宋体" w:hAnsi="宋体" w:cs="宋体"/>
          <w:b/>
          <w:bCs/>
          <w:i w:val="0"/>
          <w:iCs w:val="0"/>
          <w:color w:val="auto"/>
          <w:sz w:val="24"/>
          <w:szCs w:val="24"/>
          <w:highlight w:val="none"/>
          <w:u w:val="single"/>
        </w:rPr>
        <w:t xml:space="preserve">                            </w:t>
      </w:r>
    </w:p>
    <w:p w14:paraId="57F40E33">
      <w:pPr>
        <w:spacing w:before="468" w:line="360" w:lineRule="auto"/>
        <w:ind w:firstLine="3373" w:firstLineChars="1400"/>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委托代理人：</w:t>
      </w:r>
      <w:r>
        <w:rPr>
          <w:rFonts w:hint="eastAsia" w:ascii="宋体" w:hAnsi="宋体" w:cs="宋体"/>
          <w:b/>
          <w:i w:val="0"/>
          <w:iCs w:val="0"/>
          <w:color w:val="auto"/>
          <w:sz w:val="24"/>
          <w:szCs w:val="24"/>
          <w:highlight w:val="none"/>
          <w:u w:val="single"/>
        </w:rPr>
        <w:t xml:space="preserve">                       </w:t>
      </w:r>
      <w:r>
        <w:rPr>
          <w:rFonts w:hint="eastAsia" w:ascii="宋体" w:hAnsi="宋体" w:cs="宋体"/>
          <w:b/>
          <w:i w:val="0"/>
          <w:iCs w:val="0"/>
          <w:color w:val="auto"/>
          <w:sz w:val="24"/>
          <w:szCs w:val="24"/>
          <w:highlight w:val="none"/>
        </w:rPr>
        <w:t>(签字或盖章)</w:t>
      </w:r>
    </w:p>
    <w:p w14:paraId="5E92AE0F">
      <w:pPr>
        <w:autoSpaceDE w:val="0"/>
        <w:autoSpaceDN w:val="0"/>
        <w:adjustRightInd w:val="0"/>
        <w:spacing w:line="360" w:lineRule="auto"/>
        <w:ind w:firstLine="3373" w:firstLineChars="1400"/>
        <w:rPr>
          <w:rFonts w:ascii="宋体" w:hAnsi="宋体" w:cs="宋体"/>
          <w:i w:val="0"/>
          <w:iCs w:val="0"/>
          <w:color w:val="auto"/>
          <w:highlight w:val="none"/>
        </w:rPr>
      </w:pPr>
      <w:r>
        <w:rPr>
          <w:rFonts w:hint="eastAsia" w:ascii="宋体" w:hAnsi="宋体" w:cs="宋体"/>
          <w:b/>
          <w:bCs/>
          <w:i w:val="0"/>
          <w:iCs w:val="0"/>
          <w:color w:val="auto"/>
          <w:sz w:val="24"/>
          <w:highlight w:val="none"/>
        </w:rPr>
        <w:t>身份证号码：</w:t>
      </w:r>
      <w:r>
        <w:rPr>
          <w:rFonts w:hint="eastAsia" w:ascii="宋体" w:hAnsi="宋体" w:cs="宋体"/>
          <w:b/>
          <w:bCs/>
          <w:i w:val="0"/>
          <w:iCs w:val="0"/>
          <w:color w:val="auto"/>
          <w:sz w:val="24"/>
          <w:highlight w:val="none"/>
          <w:u w:val="single"/>
        </w:rPr>
        <w:t xml:space="preserve">                            </w:t>
      </w:r>
    </w:p>
    <w:p w14:paraId="2F0F2BA8">
      <w:pPr>
        <w:spacing w:before="468" w:line="360" w:lineRule="auto"/>
        <w:ind w:firstLine="3373" w:firstLineChars="1400"/>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日期：</w:t>
      </w:r>
      <w:r>
        <w:rPr>
          <w:rFonts w:hint="eastAsia" w:ascii="宋体" w:hAnsi="宋体" w:cs="宋体"/>
          <w:b/>
          <w:i w:val="0"/>
          <w:iCs w:val="0"/>
          <w:color w:val="auto"/>
          <w:sz w:val="24"/>
          <w:szCs w:val="24"/>
          <w:highlight w:val="none"/>
          <w:u w:val="single"/>
        </w:rPr>
        <w:t xml:space="preserve">       </w:t>
      </w:r>
      <w:r>
        <w:rPr>
          <w:rFonts w:hint="eastAsia" w:ascii="宋体" w:hAnsi="宋体" w:cs="宋体"/>
          <w:b/>
          <w:i w:val="0"/>
          <w:iCs w:val="0"/>
          <w:color w:val="auto"/>
          <w:sz w:val="24"/>
          <w:szCs w:val="24"/>
          <w:highlight w:val="none"/>
        </w:rPr>
        <w:t>年</w:t>
      </w:r>
      <w:r>
        <w:rPr>
          <w:rFonts w:hint="eastAsia" w:ascii="宋体" w:hAnsi="宋体" w:cs="宋体"/>
          <w:b/>
          <w:i w:val="0"/>
          <w:iCs w:val="0"/>
          <w:color w:val="auto"/>
          <w:sz w:val="24"/>
          <w:szCs w:val="24"/>
          <w:highlight w:val="none"/>
          <w:u w:val="single"/>
        </w:rPr>
        <w:t xml:space="preserve">    </w:t>
      </w:r>
      <w:r>
        <w:rPr>
          <w:rFonts w:hint="eastAsia" w:ascii="宋体" w:hAnsi="宋体" w:cs="宋体"/>
          <w:b/>
          <w:i w:val="0"/>
          <w:iCs w:val="0"/>
          <w:color w:val="auto"/>
          <w:sz w:val="24"/>
          <w:szCs w:val="24"/>
          <w:highlight w:val="none"/>
        </w:rPr>
        <w:t>月</w:t>
      </w:r>
      <w:r>
        <w:rPr>
          <w:rFonts w:hint="eastAsia" w:ascii="宋体" w:hAnsi="宋体" w:cs="宋体"/>
          <w:b/>
          <w:i w:val="0"/>
          <w:iCs w:val="0"/>
          <w:color w:val="auto"/>
          <w:sz w:val="24"/>
          <w:szCs w:val="24"/>
          <w:highlight w:val="none"/>
          <w:u w:val="single"/>
        </w:rPr>
        <w:t xml:space="preserve">    </w:t>
      </w:r>
      <w:r>
        <w:rPr>
          <w:rFonts w:hint="eastAsia" w:ascii="宋体" w:hAnsi="宋体" w:cs="宋体"/>
          <w:b/>
          <w:i w:val="0"/>
          <w:iCs w:val="0"/>
          <w:color w:val="auto"/>
          <w:sz w:val="24"/>
          <w:szCs w:val="24"/>
          <w:highlight w:val="none"/>
        </w:rPr>
        <w:t>日</w:t>
      </w:r>
    </w:p>
    <w:p w14:paraId="7FC5E0FA">
      <w:pPr>
        <w:spacing w:line="360" w:lineRule="auto"/>
        <w:ind w:right="482"/>
        <w:rPr>
          <w:rFonts w:ascii="宋体" w:hAnsi="宋体" w:cs="宋体"/>
          <w:i w:val="0"/>
          <w:iCs w:val="0"/>
          <w:color w:val="auto"/>
          <w:sz w:val="24"/>
          <w:szCs w:val="24"/>
          <w:highlight w:val="none"/>
        </w:rPr>
      </w:pPr>
      <w:r>
        <w:rPr>
          <w:rFonts w:hint="eastAsia" w:ascii="宋体" w:hAnsi="宋体" w:cs="宋体"/>
          <w:b/>
          <w:i w:val="0"/>
          <w:iCs w:val="0"/>
          <w:color w:val="auto"/>
          <w:sz w:val="24"/>
          <w:szCs w:val="24"/>
          <w:highlight w:val="none"/>
        </w:rPr>
        <w:t>注：</w:t>
      </w:r>
      <w:r>
        <w:rPr>
          <w:rFonts w:hint="eastAsia" w:ascii="宋体" w:hAnsi="宋体" w:cs="宋体"/>
          <w:b/>
          <w:i w:val="0"/>
          <w:iCs w:val="0"/>
          <w:color w:val="auto"/>
          <w:sz w:val="24"/>
          <w:highlight w:val="none"/>
        </w:rPr>
        <w:t>附授权委托代理人身份证</w:t>
      </w:r>
      <w:r>
        <w:rPr>
          <w:rFonts w:hint="eastAsia" w:ascii="宋体" w:hAnsi="宋体" w:cs="宋体"/>
          <w:b/>
          <w:i w:val="0"/>
          <w:iCs w:val="0"/>
          <w:color w:val="auto"/>
          <w:sz w:val="24"/>
          <w:szCs w:val="24"/>
          <w:highlight w:val="none"/>
        </w:rPr>
        <w:t>复印件</w:t>
      </w:r>
      <w:r>
        <w:rPr>
          <w:rFonts w:hint="eastAsia" w:ascii="宋体" w:hAnsi="宋体" w:cs="宋体"/>
          <w:b/>
          <w:i w:val="0"/>
          <w:iCs w:val="0"/>
          <w:color w:val="auto"/>
          <w:sz w:val="24"/>
          <w:highlight w:val="none"/>
        </w:rPr>
        <w:t>，如由法定代表人亲自签署</w:t>
      </w:r>
      <w:r>
        <w:rPr>
          <w:rFonts w:hint="eastAsia" w:ascii="宋体" w:hAnsi="宋体" w:cs="宋体"/>
          <w:b/>
          <w:bCs/>
          <w:i w:val="0"/>
          <w:iCs w:val="0"/>
          <w:color w:val="auto"/>
          <w:sz w:val="24"/>
          <w:highlight w:val="none"/>
        </w:rPr>
        <w:t>投标文件</w:t>
      </w:r>
      <w:r>
        <w:rPr>
          <w:rFonts w:hint="eastAsia" w:ascii="宋体" w:hAnsi="宋体" w:cs="宋体"/>
          <w:b/>
          <w:i w:val="0"/>
          <w:iCs w:val="0"/>
          <w:color w:val="auto"/>
          <w:sz w:val="24"/>
          <w:highlight w:val="none"/>
        </w:rPr>
        <w:t>并参与相关活动，则不需要办理授权。如由被授权的代理人签署上述文件，则必须按本格式规定填报并提交授权书，否则被授权的代理人将不被认可。</w:t>
      </w:r>
    </w:p>
    <w:tbl>
      <w:tblPr>
        <w:tblStyle w:val="47"/>
        <w:tblW w:w="96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7"/>
      </w:tblGrid>
      <w:tr w14:paraId="5A2CB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8" w:hRule="atLeast"/>
          <w:jc w:val="center"/>
        </w:trPr>
        <w:tc>
          <w:tcPr>
            <w:tcW w:w="9627" w:type="dxa"/>
            <w:vAlign w:val="center"/>
          </w:tcPr>
          <w:p w14:paraId="55E86AA0">
            <w:pPr>
              <w:spacing w:before="240" w:beforeLines="100" w:after="240" w:afterLines="100" w:line="600" w:lineRule="exact"/>
              <w:jc w:val="center"/>
              <w:rPr>
                <w:rFonts w:ascii="宋体" w:hAnsi="宋体" w:cs="宋体"/>
                <w:i w:val="0"/>
                <w:iCs w:val="0"/>
                <w:color w:val="auto"/>
                <w:sz w:val="24"/>
                <w:szCs w:val="24"/>
                <w:highlight w:val="none"/>
              </w:rPr>
            </w:pPr>
            <w:bookmarkStart w:id="280" w:name="_Toc26620"/>
            <w:bookmarkEnd w:id="280"/>
            <w:bookmarkStart w:id="281" w:name="_Toc19510"/>
            <w:r>
              <w:rPr>
                <w:rFonts w:hint="eastAsia" w:ascii="宋体" w:hAnsi="宋体" w:cs="宋体"/>
                <w:i w:val="0"/>
                <w:iCs w:val="0"/>
                <w:color w:val="auto"/>
                <w:sz w:val="24"/>
                <w:szCs w:val="24"/>
                <w:highlight w:val="none"/>
              </w:rPr>
              <w:t>委托代理人身份证正反面</w:t>
            </w:r>
          </w:p>
        </w:tc>
      </w:tr>
    </w:tbl>
    <w:p w14:paraId="0A9B84D6">
      <w:pPr>
        <w:bidi w:val="0"/>
        <w:rPr>
          <w:rFonts w:hint="eastAsia" w:ascii="黑体" w:hAnsi="黑体" w:eastAsia="黑体" w:cs="黑体"/>
          <w:b/>
          <w:bCs/>
          <w:sz w:val="28"/>
          <w:szCs w:val="28"/>
        </w:rPr>
      </w:pPr>
      <w:bookmarkStart w:id="282" w:name="_Toc295"/>
      <w:bookmarkStart w:id="283" w:name="_Toc21675"/>
    </w:p>
    <w:p w14:paraId="1C1CFF13">
      <w:pPr>
        <w:bidi w:val="0"/>
        <w:rPr>
          <w:rFonts w:ascii="宋体" w:hAnsi="宋体" w:cs="宋体"/>
          <w:i w:val="0"/>
          <w:iCs w:val="0"/>
          <w:color w:val="auto"/>
          <w:highlight w:val="none"/>
        </w:rPr>
      </w:pPr>
      <w:r>
        <w:rPr>
          <w:rFonts w:hint="eastAsia" w:ascii="黑体" w:hAnsi="黑体" w:eastAsia="黑体" w:cs="黑体"/>
          <w:b/>
          <w:bCs/>
          <w:sz w:val="28"/>
          <w:szCs w:val="28"/>
        </w:rPr>
        <w:t>格式5：</w:t>
      </w:r>
      <w:bookmarkEnd w:id="282"/>
      <w:bookmarkEnd w:id="283"/>
    </w:p>
    <w:p w14:paraId="7D6E1027">
      <w:pPr>
        <w:rPr>
          <w:rFonts w:ascii="宋体" w:hAnsi="宋体" w:cs="宋体"/>
          <w:i w:val="0"/>
          <w:iCs w:val="0"/>
          <w:color w:val="auto"/>
          <w:highlight w:val="none"/>
        </w:rPr>
      </w:pPr>
    </w:p>
    <w:p w14:paraId="71D7FD2B">
      <w:pPr>
        <w:jc w:val="center"/>
        <w:rPr>
          <w:rFonts w:hint="eastAsia"/>
          <w:b/>
          <w:bCs/>
          <w:sz w:val="28"/>
          <w:szCs w:val="28"/>
        </w:rPr>
      </w:pPr>
      <w:bookmarkStart w:id="284" w:name="_Toc27273"/>
      <w:bookmarkStart w:id="285" w:name="_Toc28670"/>
      <w:r>
        <w:rPr>
          <w:rFonts w:hint="eastAsia"/>
          <w:b/>
          <w:bCs/>
          <w:sz w:val="28"/>
          <w:szCs w:val="28"/>
        </w:rPr>
        <w:t>投标人基本情况表</w:t>
      </w:r>
      <w:bookmarkEnd w:id="281"/>
      <w:bookmarkEnd w:id="284"/>
      <w:bookmarkEnd w:id="285"/>
    </w:p>
    <w:p w14:paraId="20C0E91B">
      <w:pPr>
        <w:rPr>
          <w:rFonts w:ascii="宋体" w:hAnsi="宋体" w:cs="宋体"/>
          <w:i w:val="0"/>
          <w:iCs w:val="0"/>
          <w:color w:val="auto"/>
          <w:highlight w:val="none"/>
        </w:rPr>
      </w:pPr>
    </w:p>
    <w:tbl>
      <w:tblPr>
        <w:tblStyle w:val="47"/>
        <w:tblW w:w="99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9"/>
        <w:gridCol w:w="1350"/>
        <w:gridCol w:w="2721"/>
        <w:gridCol w:w="1404"/>
        <w:gridCol w:w="1982"/>
      </w:tblGrid>
      <w:tr w14:paraId="3B6C8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14:paraId="7E901BAD">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投标人名称</w:t>
            </w:r>
          </w:p>
        </w:tc>
        <w:tc>
          <w:tcPr>
            <w:tcW w:w="7457" w:type="dxa"/>
            <w:gridSpan w:val="4"/>
            <w:tcBorders>
              <w:top w:val="single" w:color="auto" w:sz="4" w:space="0"/>
              <w:left w:val="nil"/>
              <w:bottom w:val="single" w:color="auto" w:sz="4" w:space="0"/>
              <w:right w:val="single" w:color="auto" w:sz="4" w:space="0"/>
            </w:tcBorders>
            <w:vAlign w:val="center"/>
          </w:tcPr>
          <w:p w14:paraId="7C8689D4">
            <w:pPr>
              <w:spacing w:line="440" w:lineRule="exact"/>
              <w:jc w:val="center"/>
              <w:rPr>
                <w:rFonts w:ascii="宋体" w:hAnsi="宋体" w:cs="宋体"/>
                <w:i w:val="0"/>
                <w:iCs w:val="0"/>
                <w:color w:val="auto"/>
                <w:sz w:val="24"/>
                <w:szCs w:val="24"/>
                <w:highlight w:val="none"/>
              </w:rPr>
            </w:pPr>
          </w:p>
        </w:tc>
      </w:tr>
      <w:tr w14:paraId="5A0CA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14:paraId="75CB6497">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注册资金</w:t>
            </w:r>
          </w:p>
        </w:tc>
        <w:tc>
          <w:tcPr>
            <w:tcW w:w="4071" w:type="dxa"/>
            <w:gridSpan w:val="2"/>
            <w:tcBorders>
              <w:top w:val="single" w:color="auto" w:sz="4" w:space="0"/>
              <w:left w:val="nil"/>
              <w:bottom w:val="single" w:color="auto" w:sz="4" w:space="0"/>
              <w:right w:val="single" w:color="auto" w:sz="4" w:space="0"/>
            </w:tcBorders>
            <w:vAlign w:val="center"/>
          </w:tcPr>
          <w:p w14:paraId="2793A9C0">
            <w:pPr>
              <w:spacing w:line="440" w:lineRule="exact"/>
              <w:jc w:val="center"/>
              <w:rPr>
                <w:rFonts w:ascii="宋体" w:hAnsi="宋体" w:cs="宋体"/>
                <w:i w:val="0"/>
                <w:iCs w:val="0"/>
                <w:color w:val="auto"/>
                <w:sz w:val="24"/>
                <w:szCs w:val="24"/>
                <w:highlight w:val="none"/>
              </w:rPr>
            </w:pPr>
          </w:p>
        </w:tc>
        <w:tc>
          <w:tcPr>
            <w:tcW w:w="1404" w:type="dxa"/>
            <w:tcBorders>
              <w:top w:val="single" w:color="auto" w:sz="4" w:space="0"/>
              <w:left w:val="nil"/>
              <w:bottom w:val="single" w:color="auto" w:sz="4" w:space="0"/>
              <w:right w:val="single" w:color="auto" w:sz="4" w:space="0"/>
            </w:tcBorders>
            <w:vAlign w:val="center"/>
          </w:tcPr>
          <w:p w14:paraId="2737BAC5">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成立时间</w:t>
            </w:r>
          </w:p>
        </w:tc>
        <w:tc>
          <w:tcPr>
            <w:tcW w:w="1982" w:type="dxa"/>
            <w:tcBorders>
              <w:top w:val="single" w:color="auto" w:sz="4" w:space="0"/>
              <w:left w:val="nil"/>
              <w:bottom w:val="single" w:color="auto" w:sz="4" w:space="0"/>
              <w:right w:val="single" w:color="auto" w:sz="4" w:space="0"/>
            </w:tcBorders>
            <w:vAlign w:val="center"/>
          </w:tcPr>
          <w:p w14:paraId="77997224">
            <w:pPr>
              <w:spacing w:line="440" w:lineRule="exact"/>
              <w:jc w:val="center"/>
              <w:rPr>
                <w:rFonts w:ascii="宋体" w:hAnsi="宋体" w:cs="宋体"/>
                <w:i w:val="0"/>
                <w:iCs w:val="0"/>
                <w:color w:val="auto"/>
                <w:sz w:val="24"/>
                <w:szCs w:val="24"/>
                <w:highlight w:val="none"/>
              </w:rPr>
            </w:pPr>
          </w:p>
        </w:tc>
      </w:tr>
      <w:tr w14:paraId="43032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14:paraId="63D7E527">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注册地址</w:t>
            </w:r>
          </w:p>
        </w:tc>
        <w:tc>
          <w:tcPr>
            <w:tcW w:w="7457" w:type="dxa"/>
            <w:gridSpan w:val="4"/>
            <w:tcBorders>
              <w:top w:val="single" w:color="auto" w:sz="4" w:space="0"/>
              <w:left w:val="nil"/>
              <w:bottom w:val="single" w:color="auto" w:sz="4" w:space="0"/>
              <w:right w:val="single" w:color="auto" w:sz="4" w:space="0"/>
            </w:tcBorders>
            <w:vAlign w:val="center"/>
          </w:tcPr>
          <w:p w14:paraId="0FEC5F85">
            <w:pPr>
              <w:spacing w:line="440" w:lineRule="exact"/>
              <w:jc w:val="center"/>
              <w:rPr>
                <w:rFonts w:ascii="宋体" w:hAnsi="宋体" w:cs="宋体"/>
                <w:i w:val="0"/>
                <w:iCs w:val="0"/>
                <w:color w:val="auto"/>
                <w:sz w:val="24"/>
                <w:szCs w:val="24"/>
                <w:highlight w:val="none"/>
              </w:rPr>
            </w:pPr>
          </w:p>
        </w:tc>
      </w:tr>
      <w:tr w14:paraId="10DEE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14:paraId="068B2E18">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邮政编码</w:t>
            </w:r>
          </w:p>
        </w:tc>
        <w:tc>
          <w:tcPr>
            <w:tcW w:w="4071" w:type="dxa"/>
            <w:gridSpan w:val="2"/>
            <w:tcBorders>
              <w:top w:val="single" w:color="auto" w:sz="4" w:space="0"/>
              <w:left w:val="nil"/>
              <w:bottom w:val="single" w:color="auto" w:sz="4" w:space="0"/>
              <w:right w:val="single" w:color="auto" w:sz="4" w:space="0"/>
            </w:tcBorders>
            <w:vAlign w:val="center"/>
          </w:tcPr>
          <w:p w14:paraId="6BDBE7D1">
            <w:pPr>
              <w:spacing w:line="440" w:lineRule="exact"/>
              <w:jc w:val="center"/>
              <w:rPr>
                <w:rFonts w:ascii="宋体" w:hAnsi="宋体" w:cs="宋体"/>
                <w:i w:val="0"/>
                <w:iCs w:val="0"/>
                <w:color w:val="auto"/>
                <w:sz w:val="24"/>
                <w:szCs w:val="24"/>
                <w:highlight w:val="none"/>
              </w:rPr>
            </w:pPr>
          </w:p>
        </w:tc>
        <w:tc>
          <w:tcPr>
            <w:tcW w:w="1404" w:type="dxa"/>
            <w:tcBorders>
              <w:top w:val="single" w:color="auto" w:sz="4" w:space="0"/>
              <w:left w:val="nil"/>
              <w:bottom w:val="single" w:color="auto" w:sz="4" w:space="0"/>
              <w:right w:val="single" w:color="auto" w:sz="4" w:space="0"/>
            </w:tcBorders>
            <w:vAlign w:val="center"/>
          </w:tcPr>
          <w:p w14:paraId="73A24CB4">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员工总数</w:t>
            </w:r>
          </w:p>
        </w:tc>
        <w:tc>
          <w:tcPr>
            <w:tcW w:w="1982" w:type="dxa"/>
            <w:tcBorders>
              <w:top w:val="single" w:color="auto" w:sz="4" w:space="0"/>
              <w:left w:val="nil"/>
              <w:bottom w:val="single" w:color="auto" w:sz="4" w:space="0"/>
              <w:right w:val="single" w:color="auto" w:sz="4" w:space="0"/>
            </w:tcBorders>
            <w:vAlign w:val="center"/>
          </w:tcPr>
          <w:p w14:paraId="5ABB90ED">
            <w:pPr>
              <w:spacing w:line="440" w:lineRule="exact"/>
              <w:jc w:val="center"/>
              <w:rPr>
                <w:rFonts w:ascii="宋体" w:hAnsi="宋体" w:cs="宋体"/>
                <w:i w:val="0"/>
                <w:iCs w:val="0"/>
                <w:color w:val="auto"/>
                <w:sz w:val="24"/>
                <w:szCs w:val="24"/>
                <w:highlight w:val="none"/>
              </w:rPr>
            </w:pPr>
          </w:p>
        </w:tc>
      </w:tr>
      <w:tr w14:paraId="1674B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2449" w:type="dxa"/>
            <w:vMerge w:val="restart"/>
            <w:tcBorders>
              <w:top w:val="nil"/>
              <w:left w:val="single" w:color="auto" w:sz="4" w:space="0"/>
              <w:bottom w:val="single" w:color="auto" w:sz="4" w:space="0"/>
              <w:right w:val="single" w:color="auto" w:sz="4" w:space="0"/>
            </w:tcBorders>
            <w:vAlign w:val="center"/>
          </w:tcPr>
          <w:p w14:paraId="6CAA4549">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联系方式</w:t>
            </w:r>
          </w:p>
        </w:tc>
        <w:tc>
          <w:tcPr>
            <w:tcW w:w="1350" w:type="dxa"/>
            <w:tcBorders>
              <w:top w:val="single" w:color="auto" w:sz="4" w:space="0"/>
              <w:left w:val="nil"/>
              <w:bottom w:val="single" w:color="auto" w:sz="4" w:space="0"/>
              <w:right w:val="single" w:color="auto" w:sz="4" w:space="0"/>
            </w:tcBorders>
            <w:vAlign w:val="center"/>
          </w:tcPr>
          <w:p w14:paraId="75A675E7">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联系人</w:t>
            </w:r>
          </w:p>
        </w:tc>
        <w:tc>
          <w:tcPr>
            <w:tcW w:w="2721" w:type="dxa"/>
            <w:tcBorders>
              <w:top w:val="single" w:color="auto" w:sz="4" w:space="0"/>
              <w:left w:val="nil"/>
              <w:bottom w:val="single" w:color="auto" w:sz="4" w:space="0"/>
              <w:right w:val="single" w:color="auto" w:sz="4" w:space="0"/>
            </w:tcBorders>
            <w:vAlign w:val="center"/>
          </w:tcPr>
          <w:p w14:paraId="619BCDD7">
            <w:pPr>
              <w:spacing w:line="440" w:lineRule="exact"/>
              <w:jc w:val="center"/>
              <w:rPr>
                <w:rFonts w:ascii="宋体" w:hAnsi="宋体" w:cs="宋体"/>
                <w:i w:val="0"/>
                <w:iCs w:val="0"/>
                <w:color w:val="auto"/>
                <w:sz w:val="24"/>
                <w:szCs w:val="24"/>
                <w:highlight w:val="none"/>
              </w:rPr>
            </w:pPr>
          </w:p>
        </w:tc>
        <w:tc>
          <w:tcPr>
            <w:tcW w:w="1404" w:type="dxa"/>
            <w:tcBorders>
              <w:top w:val="single" w:color="auto" w:sz="4" w:space="0"/>
              <w:left w:val="nil"/>
              <w:bottom w:val="single" w:color="auto" w:sz="4" w:space="0"/>
              <w:right w:val="single" w:color="auto" w:sz="4" w:space="0"/>
            </w:tcBorders>
            <w:vAlign w:val="center"/>
          </w:tcPr>
          <w:p w14:paraId="3B3587FC">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电话</w:t>
            </w:r>
          </w:p>
        </w:tc>
        <w:tc>
          <w:tcPr>
            <w:tcW w:w="1982" w:type="dxa"/>
            <w:tcBorders>
              <w:top w:val="single" w:color="auto" w:sz="4" w:space="0"/>
              <w:left w:val="nil"/>
              <w:bottom w:val="single" w:color="auto" w:sz="4" w:space="0"/>
              <w:right w:val="single" w:color="auto" w:sz="4" w:space="0"/>
            </w:tcBorders>
            <w:vAlign w:val="center"/>
          </w:tcPr>
          <w:p w14:paraId="51369E30">
            <w:pPr>
              <w:spacing w:line="440" w:lineRule="exact"/>
              <w:jc w:val="center"/>
              <w:rPr>
                <w:rFonts w:ascii="宋体" w:hAnsi="宋体" w:cs="宋体"/>
                <w:i w:val="0"/>
                <w:iCs w:val="0"/>
                <w:color w:val="auto"/>
                <w:sz w:val="24"/>
                <w:szCs w:val="24"/>
                <w:highlight w:val="none"/>
              </w:rPr>
            </w:pPr>
          </w:p>
        </w:tc>
      </w:tr>
      <w:tr w14:paraId="6B8FA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2449" w:type="dxa"/>
            <w:vMerge w:val="continue"/>
            <w:tcBorders>
              <w:top w:val="nil"/>
              <w:left w:val="single" w:color="auto" w:sz="4" w:space="0"/>
              <w:bottom w:val="single" w:color="auto" w:sz="4" w:space="0"/>
              <w:right w:val="single" w:color="auto" w:sz="4" w:space="0"/>
            </w:tcBorders>
            <w:vAlign w:val="center"/>
          </w:tcPr>
          <w:p w14:paraId="5A7C7A79">
            <w:pPr>
              <w:widowControl w:val="0"/>
              <w:jc w:val="both"/>
              <w:rPr>
                <w:rFonts w:ascii="宋体" w:hAnsi="宋体" w:cs="宋体"/>
                <w:i w:val="0"/>
                <w:iCs w:val="0"/>
                <w:color w:val="auto"/>
                <w:kern w:val="2"/>
                <w:sz w:val="24"/>
                <w:szCs w:val="24"/>
                <w:highlight w:val="none"/>
              </w:rPr>
            </w:pPr>
          </w:p>
        </w:tc>
        <w:tc>
          <w:tcPr>
            <w:tcW w:w="1350" w:type="dxa"/>
            <w:tcBorders>
              <w:top w:val="single" w:color="auto" w:sz="4" w:space="0"/>
              <w:left w:val="nil"/>
              <w:bottom w:val="single" w:color="auto" w:sz="4" w:space="0"/>
              <w:right w:val="single" w:color="auto" w:sz="4" w:space="0"/>
            </w:tcBorders>
            <w:vAlign w:val="center"/>
          </w:tcPr>
          <w:p w14:paraId="73A76661">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网址</w:t>
            </w:r>
          </w:p>
        </w:tc>
        <w:tc>
          <w:tcPr>
            <w:tcW w:w="2721" w:type="dxa"/>
            <w:tcBorders>
              <w:top w:val="single" w:color="auto" w:sz="4" w:space="0"/>
              <w:left w:val="nil"/>
              <w:bottom w:val="single" w:color="auto" w:sz="4" w:space="0"/>
              <w:right w:val="single" w:color="auto" w:sz="4" w:space="0"/>
            </w:tcBorders>
            <w:vAlign w:val="center"/>
          </w:tcPr>
          <w:p w14:paraId="368D01D1">
            <w:pPr>
              <w:spacing w:line="440" w:lineRule="exact"/>
              <w:jc w:val="center"/>
              <w:rPr>
                <w:rFonts w:ascii="宋体" w:hAnsi="宋体" w:cs="宋体"/>
                <w:i w:val="0"/>
                <w:iCs w:val="0"/>
                <w:color w:val="auto"/>
                <w:sz w:val="24"/>
                <w:szCs w:val="24"/>
                <w:highlight w:val="none"/>
              </w:rPr>
            </w:pPr>
          </w:p>
        </w:tc>
        <w:tc>
          <w:tcPr>
            <w:tcW w:w="1404" w:type="dxa"/>
            <w:tcBorders>
              <w:top w:val="single" w:color="auto" w:sz="4" w:space="0"/>
              <w:left w:val="nil"/>
              <w:bottom w:val="single" w:color="auto" w:sz="4" w:space="0"/>
              <w:right w:val="single" w:color="auto" w:sz="4" w:space="0"/>
            </w:tcBorders>
            <w:vAlign w:val="center"/>
          </w:tcPr>
          <w:p w14:paraId="133ED1F2">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传真</w:t>
            </w:r>
          </w:p>
        </w:tc>
        <w:tc>
          <w:tcPr>
            <w:tcW w:w="1982" w:type="dxa"/>
            <w:tcBorders>
              <w:top w:val="single" w:color="auto" w:sz="4" w:space="0"/>
              <w:left w:val="nil"/>
              <w:bottom w:val="single" w:color="auto" w:sz="4" w:space="0"/>
              <w:right w:val="single" w:color="auto" w:sz="4" w:space="0"/>
            </w:tcBorders>
            <w:vAlign w:val="center"/>
          </w:tcPr>
          <w:p w14:paraId="688B6081">
            <w:pPr>
              <w:spacing w:line="440" w:lineRule="exact"/>
              <w:jc w:val="center"/>
              <w:rPr>
                <w:rFonts w:ascii="宋体" w:hAnsi="宋体" w:cs="宋体"/>
                <w:i w:val="0"/>
                <w:iCs w:val="0"/>
                <w:color w:val="auto"/>
                <w:sz w:val="24"/>
                <w:szCs w:val="24"/>
                <w:highlight w:val="none"/>
              </w:rPr>
            </w:pPr>
          </w:p>
        </w:tc>
      </w:tr>
      <w:tr w14:paraId="18998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14:paraId="7E625E69">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法定代表人</w:t>
            </w:r>
          </w:p>
          <w:p w14:paraId="2EE97B1D">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(单位负责人)</w:t>
            </w:r>
          </w:p>
        </w:tc>
        <w:tc>
          <w:tcPr>
            <w:tcW w:w="1350" w:type="dxa"/>
            <w:tcBorders>
              <w:top w:val="single" w:color="auto" w:sz="4" w:space="0"/>
              <w:left w:val="nil"/>
              <w:bottom w:val="single" w:color="auto" w:sz="4" w:space="0"/>
              <w:right w:val="single" w:color="auto" w:sz="4" w:space="0"/>
            </w:tcBorders>
            <w:vAlign w:val="center"/>
          </w:tcPr>
          <w:p w14:paraId="7D660435">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姓名</w:t>
            </w:r>
          </w:p>
        </w:tc>
        <w:tc>
          <w:tcPr>
            <w:tcW w:w="2721" w:type="dxa"/>
            <w:tcBorders>
              <w:top w:val="single" w:color="auto" w:sz="4" w:space="0"/>
              <w:left w:val="nil"/>
              <w:bottom w:val="single" w:color="auto" w:sz="4" w:space="0"/>
              <w:right w:val="single" w:color="auto" w:sz="4" w:space="0"/>
            </w:tcBorders>
            <w:vAlign w:val="center"/>
          </w:tcPr>
          <w:p w14:paraId="5B0EACEB">
            <w:pPr>
              <w:spacing w:line="440" w:lineRule="exact"/>
              <w:jc w:val="center"/>
              <w:rPr>
                <w:rFonts w:ascii="宋体" w:hAnsi="宋体" w:cs="宋体"/>
                <w:i w:val="0"/>
                <w:iCs w:val="0"/>
                <w:color w:val="auto"/>
                <w:sz w:val="24"/>
                <w:szCs w:val="24"/>
                <w:highlight w:val="none"/>
              </w:rPr>
            </w:pPr>
          </w:p>
        </w:tc>
        <w:tc>
          <w:tcPr>
            <w:tcW w:w="1404" w:type="dxa"/>
            <w:tcBorders>
              <w:top w:val="single" w:color="auto" w:sz="4" w:space="0"/>
              <w:left w:val="nil"/>
              <w:bottom w:val="single" w:color="auto" w:sz="4" w:space="0"/>
              <w:right w:val="single" w:color="auto" w:sz="4" w:space="0"/>
            </w:tcBorders>
            <w:vAlign w:val="center"/>
          </w:tcPr>
          <w:p w14:paraId="01048661">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电话</w:t>
            </w:r>
          </w:p>
        </w:tc>
        <w:tc>
          <w:tcPr>
            <w:tcW w:w="1982" w:type="dxa"/>
            <w:tcBorders>
              <w:top w:val="single" w:color="auto" w:sz="4" w:space="0"/>
              <w:left w:val="nil"/>
              <w:bottom w:val="single" w:color="auto" w:sz="4" w:space="0"/>
              <w:right w:val="single" w:color="auto" w:sz="4" w:space="0"/>
            </w:tcBorders>
            <w:vAlign w:val="center"/>
          </w:tcPr>
          <w:p w14:paraId="0464C240">
            <w:pPr>
              <w:spacing w:line="440" w:lineRule="exact"/>
              <w:jc w:val="center"/>
              <w:rPr>
                <w:rFonts w:ascii="宋体" w:hAnsi="宋体" w:cs="宋体"/>
                <w:i w:val="0"/>
                <w:iCs w:val="0"/>
                <w:color w:val="auto"/>
                <w:sz w:val="24"/>
                <w:szCs w:val="24"/>
                <w:highlight w:val="none"/>
              </w:rPr>
            </w:pPr>
          </w:p>
        </w:tc>
      </w:tr>
      <w:tr w14:paraId="47517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3"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14:paraId="594BAC1F">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投标人须知要求投标人需具有的各类资质证书(若有)</w:t>
            </w:r>
          </w:p>
        </w:tc>
        <w:tc>
          <w:tcPr>
            <w:tcW w:w="7457" w:type="dxa"/>
            <w:gridSpan w:val="4"/>
            <w:tcBorders>
              <w:top w:val="single" w:color="auto" w:sz="4" w:space="0"/>
              <w:left w:val="nil"/>
              <w:bottom w:val="single" w:color="auto" w:sz="4" w:space="0"/>
              <w:right w:val="single" w:color="auto" w:sz="4" w:space="0"/>
            </w:tcBorders>
            <w:vAlign w:val="center"/>
          </w:tcPr>
          <w:p w14:paraId="54323B2A">
            <w:pPr>
              <w:spacing w:line="440" w:lineRule="exact"/>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类型：                等级：                 证书号：</w:t>
            </w:r>
          </w:p>
        </w:tc>
      </w:tr>
      <w:tr w14:paraId="2D454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14:paraId="1120F9EE">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基本账户开户银行</w:t>
            </w:r>
          </w:p>
        </w:tc>
        <w:tc>
          <w:tcPr>
            <w:tcW w:w="7457" w:type="dxa"/>
            <w:gridSpan w:val="4"/>
            <w:tcBorders>
              <w:top w:val="single" w:color="auto" w:sz="4" w:space="0"/>
              <w:left w:val="nil"/>
              <w:bottom w:val="single" w:color="auto" w:sz="4" w:space="0"/>
              <w:right w:val="single" w:color="auto" w:sz="4" w:space="0"/>
            </w:tcBorders>
            <w:vAlign w:val="center"/>
          </w:tcPr>
          <w:p w14:paraId="3172E6A4">
            <w:pPr>
              <w:spacing w:line="440" w:lineRule="exact"/>
              <w:jc w:val="center"/>
              <w:rPr>
                <w:rFonts w:ascii="宋体" w:hAnsi="宋体" w:cs="宋体"/>
                <w:i w:val="0"/>
                <w:iCs w:val="0"/>
                <w:color w:val="auto"/>
                <w:sz w:val="24"/>
                <w:szCs w:val="24"/>
                <w:highlight w:val="none"/>
              </w:rPr>
            </w:pPr>
          </w:p>
        </w:tc>
      </w:tr>
      <w:tr w14:paraId="59426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14:paraId="721E062C">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基本账户银行账号</w:t>
            </w:r>
          </w:p>
        </w:tc>
        <w:tc>
          <w:tcPr>
            <w:tcW w:w="7457" w:type="dxa"/>
            <w:gridSpan w:val="4"/>
            <w:tcBorders>
              <w:top w:val="single" w:color="auto" w:sz="4" w:space="0"/>
              <w:left w:val="nil"/>
              <w:bottom w:val="single" w:color="auto" w:sz="4" w:space="0"/>
              <w:right w:val="single" w:color="auto" w:sz="4" w:space="0"/>
            </w:tcBorders>
            <w:vAlign w:val="center"/>
          </w:tcPr>
          <w:p w14:paraId="50AC02E7">
            <w:pPr>
              <w:spacing w:line="440" w:lineRule="exact"/>
              <w:jc w:val="center"/>
              <w:rPr>
                <w:rFonts w:ascii="宋体" w:hAnsi="宋体" w:cs="宋体"/>
                <w:i w:val="0"/>
                <w:iCs w:val="0"/>
                <w:color w:val="auto"/>
                <w:sz w:val="24"/>
                <w:szCs w:val="24"/>
                <w:highlight w:val="none"/>
              </w:rPr>
            </w:pPr>
          </w:p>
        </w:tc>
      </w:tr>
      <w:tr w14:paraId="2F5E3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1"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14:paraId="54217808">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投标人关联企业情况(包括但不限于与投标人法定代表人(单位负责人)为同一人或者存在控股、管理关系的不同单位)</w:t>
            </w:r>
          </w:p>
        </w:tc>
        <w:tc>
          <w:tcPr>
            <w:tcW w:w="7457" w:type="dxa"/>
            <w:gridSpan w:val="4"/>
            <w:tcBorders>
              <w:top w:val="single" w:color="auto" w:sz="4" w:space="0"/>
              <w:left w:val="nil"/>
              <w:bottom w:val="single" w:color="auto" w:sz="4" w:space="0"/>
              <w:right w:val="single" w:color="auto" w:sz="4" w:space="0"/>
            </w:tcBorders>
            <w:vAlign w:val="center"/>
          </w:tcPr>
          <w:p w14:paraId="0A1B008B">
            <w:pPr>
              <w:spacing w:line="440" w:lineRule="exact"/>
              <w:jc w:val="center"/>
              <w:rPr>
                <w:rFonts w:ascii="宋体" w:hAnsi="宋体" w:cs="宋体"/>
                <w:i w:val="0"/>
                <w:iCs w:val="0"/>
                <w:color w:val="auto"/>
                <w:sz w:val="24"/>
                <w:szCs w:val="24"/>
                <w:highlight w:val="none"/>
              </w:rPr>
            </w:pPr>
          </w:p>
        </w:tc>
      </w:tr>
      <w:tr w14:paraId="600B6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14:paraId="30D2BDBF">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备注</w:t>
            </w:r>
          </w:p>
        </w:tc>
        <w:tc>
          <w:tcPr>
            <w:tcW w:w="7457" w:type="dxa"/>
            <w:gridSpan w:val="4"/>
            <w:tcBorders>
              <w:top w:val="single" w:color="auto" w:sz="4" w:space="0"/>
              <w:left w:val="nil"/>
              <w:bottom w:val="single" w:color="auto" w:sz="4" w:space="0"/>
              <w:right w:val="single" w:color="auto" w:sz="4" w:space="0"/>
            </w:tcBorders>
            <w:vAlign w:val="center"/>
          </w:tcPr>
          <w:p w14:paraId="5F18D241">
            <w:pPr>
              <w:spacing w:line="440" w:lineRule="exact"/>
              <w:jc w:val="center"/>
              <w:rPr>
                <w:rFonts w:ascii="宋体" w:hAnsi="宋体" w:cs="宋体"/>
                <w:i w:val="0"/>
                <w:iCs w:val="0"/>
                <w:color w:val="auto"/>
                <w:sz w:val="24"/>
                <w:szCs w:val="24"/>
                <w:highlight w:val="none"/>
              </w:rPr>
            </w:pPr>
          </w:p>
        </w:tc>
      </w:tr>
    </w:tbl>
    <w:p w14:paraId="01CE2F50">
      <w:pPr>
        <w:spacing w:line="240" w:lineRule="exact"/>
        <w:rPr>
          <w:rFonts w:ascii="宋体" w:hAnsi="宋体" w:cs="宋体"/>
          <w:i w:val="0"/>
          <w:iCs w:val="0"/>
          <w:color w:val="auto"/>
          <w:sz w:val="24"/>
          <w:szCs w:val="24"/>
          <w:highlight w:val="none"/>
        </w:rPr>
      </w:pPr>
    </w:p>
    <w:p w14:paraId="781BB2C4">
      <w:pPr>
        <w:spacing w:line="360" w:lineRule="auto"/>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注：投标人应根据</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要求在本表后附相关证明材料，如营业执照、资质证书(若有)、开户许可证或基本存款账户信息等。</w:t>
      </w:r>
    </w:p>
    <w:p w14:paraId="28916B75">
      <w:pPr>
        <w:bidi w:val="0"/>
        <w:rPr>
          <w:rFonts w:ascii="宋体" w:hAnsi="宋体" w:cs="宋体"/>
          <w:i w:val="0"/>
          <w:iCs w:val="0"/>
          <w:color w:val="auto"/>
          <w:highlight w:val="none"/>
        </w:rPr>
      </w:pPr>
      <w:bookmarkStart w:id="286" w:name="_Toc25271"/>
      <w:bookmarkEnd w:id="286"/>
      <w:bookmarkStart w:id="287" w:name="_Toc23543"/>
      <w:bookmarkEnd w:id="287"/>
      <w:bookmarkStart w:id="288" w:name="_Toc25087"/>
      <w:r>
        <w:rPr>
          <w:rFonts w:hint="eastAsia" w:ascii="宋体" w:hAnsi="宋体" w:cs="宋体"/>
          <w:i w:val="0"/>
          <w:iCs w:val="0"/>
          <w:color w:val="auto"/>
          <w:highlight w:val="none"/>
        </w:rPr>
        <w:br w:type="page"/>
      </w:r>
      <w:bookmarkStart w:id="289" w:name="_Toc11536"/>
      <w:bookmarkStart w:id="290" w:name="_Toc31663"/>
      <w:r>
        <w:rPr>
          <w:rFonts w:hint="eastAsia" w:ascii="黑体" w:hAnsi="黑体" w:eastAsia="黑体" w:cs="黑体"/>
          <w:b/>
          <w:bCs/>
          <w:sz w:val="28"/>
          <w:szCs w:val="28"/>
        </w:rPr>
        <w:t>格式</w:t>
      </w:r>
      <w:r>
        <w:rPr>
          <w:rFonts w:hint="eastAsia" w:ascii="黑体" w:hAnsi="黑体" w:eastAsia="黑体" w:cs="黑体"/>
          <w:b/>
          <w:bCs/>
          <w:sz w:val="28"/>
          <w:szCs w:val="28"/>
          <w:lang w:val="en-US" w:eastAsia="zh-CN"/>
        </w:rPr>
        <w:t>6</w:t>
      </w:r>
      <w:r>
        <w:rPr>
          <w:rFonts w:hint="eastAsia" w:ascii="黑体" w:hAnsi="黑体" w:eastAsia="黑体" w:cs="黑体"/>
          <w:b/>
          <w:bCs/>
          <w:sz w:val="28"/>
          <w:szCs w:val="28"/>
        </w:rPr>
        <w:t>：</w:t>
      </w:r>
      <w:bookmarkEnd w:id="289"/>
      <w:bookmarkEnd w:id="290"/>
    </w:p>
    <w:p w14:paraId="40EC3F7D">
      <w:pPr>
        <w:rPr>
          <w:rFonts w:ascii="宋体" w:hAnsi="宋体" w:cs="宋体"/>
          <w:i w:val="0"/>
          <w:iCs w:val="0"/>
          <w:color w:val="auto"/>
          <w:highlight w:val="none"/>
        </w:rPr>
      </w:pPr>
    </w:p>
    <w:p w14:paraId="7D9E5679">
      <w:pPr>
        <w:jc w:val="center"/>
        <w:rPr>
          <w:rFonts w:hint="eastAsia"/>
          <w:b/>
          <w:bCs/>
          <w:sz w:val="28"/>
          <w:szCs w:val="28"/>
        </w:rPr>
      </w:pPr>
      <w:bookmarkStart w:id="291" w:name="_Toc24001"/>
      <w:bookmarkStart w:id="292" w:name="_Toc28423"/>
      <w:r>
        <w:rPr>
          <w:rFonts w:hint="eastAsia"/>
          <w:b/>
          <w:bCs/>
          <w:sz w:val="28"/>
          <w:szCs w:val="28"/>
        </w:rPr>
        <w:t>商务、</w:t>
      </w:r>
      <w:r>
        <w:rPr>
          <w:rFonts w:hint="eastAsia"/>
          <w:b/>
          <w:bCs/>
          <w:sz w:val="28"/>
          <w:szCs w:val="28"/>
          <w:lang w:val="en-US" w:eastAsia="zh-CN"/>
        </w:rPr>
        <w:t>技术</w:t>
      </w:r>
      <w:r>
        <w:rPr>
          <w:rFonts w:hint="eastAsia"/>
          <w:b/>
          <w:bCs/>
          <w:sz w:val="28"/>
          <w:szCs w:val="28"/>
        </w:rPr>
        <w:t>条款偏离表</w:t>
      </w:r>
      <w:bookmarkEnd w:id="288"/>
      <w:bookmarkEnd w:id="291"/>
      <w:bookmarkEnd w:id="292"/>
    </w:p>
    <w:p w14:paraId="545B47FC">
      <w:pPr>
        <w:jc w:val="center"/>
        <w:rPr>
          <w:rFonts w:hint="eastAsia" w:eastAsia="宋体"/>
          <w:b/>
          <w:bCs/>
          <w:lang w:eastAsia="zh-CN"/>
        </w:rPr>
      </w:pPr>
      <w:r>
        <w:rPr>
          <w:rFonts w:hint="eastAsia" w:ascii="宋体" w:hAnsi="宋体" w:cs="宋体"/>
          <w:b/>
          <w:bCs/>
          <w:i w:val="0"/>
          <w:iCs w:val="0"/>
          <w:color w:val="auto"/>
          <w:sz w:val="28"/>
          <w:szCs w:val="28"/>
          <w:highlight w:val="none"/>
          <w:lang w:eastAsia="zh-CN"/>
        </w:rPr>
        <w:t>（</w:t>
      </w:r>
      <w:r>
        <w:rPr>
          <w:rFonts w:hint="eastAsia" w:ascii="宋体" w:hAnsi="宋体" w:cs="宋体"/>
          <w:b/>
          <w:bCs/>
          <w:i w:val="0"/>
          <w:iCs w:val="0"/>
          <w:color w:val="auto"/>
          <w:sz w:val="28"/>
          <w:szCs w:val="28"/>
          <w:highlight w:val="none"/>
          <w:lang w:val="en-US" w:eastAsia="zh-CN"/>
        </w:rPr>
        <w:t>一</w:t>
      </w:r>
      <w:r>
        <w:rPr>
          <w:rFonts w:hint="eastAsia" w:ascii="宋体" w:hAnsi="宋体" w:cs="宋体"/>
          <w:b/>
          <w:bCs/>
          <w:i w:val="0"/>
          <w:iCs w:val="0"/>
          <w:color w:val="auto"/>
          <w:sz w:val="28"/>
          <w:szCs w:val="28"/>
          <w:highlight w:val="none"/>
          <w:lang w:eastAsia="zh-CN"/>
        </w:rPr>
        <w:t>）商务条款偏离表</w:t>
      </w:r>
    </w:p>
    <w:p w14:paraId="12CE856C">
      <w:pPr>
        <w:rPr>
          <w:rFonts w:ascii="宋体" w:hAnsi="宋体" w:cs="宋体"/>
          <w:i w:val="0"/>
          <w:iCs w:val="0"/>
          <w:color w:val="auto"/>
          <w:highlight w:val="none"/>
        </w:rPr>
      </w:pPr>
    </w:p>
    <w:tbl>
      <w:tblPr>
        <w:tblStyle w:val="47"/>
        <w:tblW w:w="99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
        <w:gridCol w:w="1925"/>
        <w:gridCol w:w="2500"/>
        <w:gridCol w:w="1770"/>
        <w:gridCol w:w="1600"/>
        <w:gridCol w:w="1241"/>
      </w:tblGrid>
      <w:tr w14:paraId="04C80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20" w:type="dxa"/>
            <w:tcBorders>
              <w:top w:val="single" w:color="auto" w:sz="4" w:space="0"/>
              <w:left w:val="single" w:color="auto" w:sz="4" w:space="0"/>
              <w:bottom w:val="single" w:color="auto" w:sz="4" w:space="0"/>
              <w:right w:val="single" w:color="auto" w:sz="4" w:space="0"/>
            </w:tcBorders>
            <w:vAlign w:val="center"/>
          </w:tcPr>
          <w:p w14:paraId="4CAFBA7E">
            <w:pPr>
              <w:jc w:val="center"/>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序 号</w:t>
            </w:r>
          </w:p>
        </w:tc>
        <w:tc>
          <w:tcPr>
            <w:tcW w:w="1925" w:type="dxa"/>
            <w:tcBorders>
              <w:top w:val="single" w:color="auto" w:sz="4" w:space="0"/>
              <w:left w:val="nil"/>
              <w:bottom w:val="single" w:color="auto" w:sz="4" w:space="0"/>
              <w:right w:val="single" w:color="auto" w:sz="4" w:space="0"/>
            </w:tcBorders>
            <w:vAlign w:val="center"/>
          </w:tcPr>
          <w:p w14:paraId="66A6A4FE">
            <w:pPr>
              <w:jc w:val="center"/>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lang w:eastAsia="zh-CN"/>
              </w:rPr>
              <w:t>招标文件</w:t>
            </w:r>
            <w:r>
              <w:rPr>
                <w:rFonts w:hint="eastAsia" w:ascii="宋体" w:hAnsi="宋体" w:cs="宋体"/>
                <w:b/>
                <w:bCs/>
                <w:i w:val="0"/>
                <w:iCs w:val="0"/>
                <w:color w:val="auto"/>
                <w:sz w:val="24"/>
                <w:szCs w:val="24"/>
                <w:highlight w:val="none"/>
              </w:rPr>
              <w:t>条款号</w:t>
            </w:r>
          </w:p>
        </w:tc>
        <w:tc>
          <w:tcPr>
            <w:tcW w:w="2500" w:type="dxa"/>
            <w:tcBorders>
              <w:top w:val="single" w:color="auto" w:sz="4" w:space="0"/>
              <w:left w:val="nil"/>
              <w:bottom w:val="single" w:color="auto" w:sz="4" w:space="0"/>
              <w:right w:val="single" w:color="auto" w:sz="4" w:space="0"/>
            </w:tcBorders>
            <w:vAlign w:val="center"/>
          </w:tcPr>
          <w:p w14:paraId="38BDA9B1">
            <w:pPr>
              <w:jc w:val="center"/>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lang w:eastAsia="zh-CN"/>
              </w:rPr>
              <w:t>招标文件</w:t>
            </w:r>
            <w:r>
              <w:rPr>
                <w:rFonts w:hint="eastAsia" w:ascii="宋体" w:hAnsi="宋体" w:cs="宋体"/>
                <w:b/>
                <w:bCs/>
                <w:i w:val="0"/>
                <w:iCs w:val="0"/>
                <w:color w:val="auto"/>
                <w:sz w:val="24"/>
                <w:szCs w:val="24"/>
                <w:highlight w:val="none"/>
              </w:rPr>
              <w:t>的商务条款内容</w:t>
            </w:r>
          </w:p>
        </w:tc>
        <w:tc>
          <w:tcPr>
            <w:tcW w:w="1770" w:type="dxa"/>
            <w:tcBorders>
              <w:top w:val="single" w:color="auto" w:sz="4" w:space="0"/>
              <w:left w:val="nil"/>
              <w:bottom w:val="single" w:color="auto" w:sz="4" w:space="0"/>
              <w:right w:val="single" w:color="auto" w:sz="4" w:space="0"/>
            </w:tcBorders>
            <w:vAlign w:val="center"/>
          </w:tcPr>
          <w:p w14:paraId="3E4A541D">
            <w:pPr>
              <w:jc w:val="center"/>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投标文件的商务条款响应情况</w:t>
            </w:r>
          </w:p>
        </w:tc>
        <w:tc>
          <w:tcPr>
            <w:tcW w:w="1600" w:type="dxa"/>
            <w:tcBorders>
              <w:top w:val="single" w:color="auto" w:sz="4" w:space="0"/>
              <w:left w:val="nil"/>
              <w:bottom w:val="single" w:color="auto" w:sz="4" w:space="0"/>
              <w:right w:val="single" w:color="auto" w:sz="4" w:space="0"/>
            </w:tcBorders>
            <w:vAlign w:val="center"/>
          </w:tcPr>
          <w:p w14:paraId="4EB19E42">
            <w:pPr>
              <w:jc w:val="center"/>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偏离情况</w:t>
            </w:r>
          </w:p>
        </w:tc>
        <w:tc>
          <w:tcPr>
            <w:tcW w:w="1241" w:type="dxa"/>
            <w:tcBorders>
              <w:top w:val="single" w:color="auto" w:sz="4" w:space="0"/>
              <w:left w:val="nil"/>
              <w:bottom w:val="single" w:color="auto" w:sz="4" w:space="0"/>
              <w:right w:val="single" w:color="auto" w:sz="4" w:space="0"/>
            </w:tcBorders>
            <w:vAlign w:val="center"/>
          </w:tcPr>
          <w:p w14:paraId="3FE3079C">
            <w:pPr>
              <w:jc w:val="center"/>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说明</w:t>
            </w:r>
          </w:p>
        </w:tc>
      </w:tr>
      <w:tr w14:paraId="03060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20" w:type="dxa"/>
            <w:tcBorders>
              <w:top w:val="single" w:color="auto" w:sz="4" w:space="0"/>
              <w:left w:val="single" w:color="auto" w:sz="4" w:space="0"/>
              <w:bottom w:val="single" w:color="auto" w:sz="4" w:space="0"/>
              <w:right w:val="single" w:color="auto" w:sz="4" w:space="0"/>
            </w:tcBorders>
            <w:vAlign w:val="center"/>
          </w:tcPr>
          <w:p w14:paraId="68C3AF9B">
            <w:pPr>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w:t>
            </w:r>
          </w:p>
        </w:tc>
        <w:tc>
          <w:tcPr>
            <w:tcW w:w="1925" w:type="dxa"/>
            <w:tcBorders>
              <w:top w:val="single" w:color="auto" w:sz="4" w:space="0"/>
              <w:left w:val="nil"/>
              <w:bottom w:val="single" w:color="auto" w:sz="4" w:space="0"/>
              <w:right w:val="single" w:color="auto" w:sz="4" w:space="0"/>
            </w:tcBorders>
            <w:vAlign w:val="center"/>
          </w:tcPr>
          <w:p w14:paraId="0CAB1F40">
            <w:pPr>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“投标人须知前附表”第1.3.2款</w:t>
            </w:r>
          </w:p>
        </w:tc>
        <w:tc>
          <w:tcPr>
            <w:tcW w:w="2500" w:type="dxa"/>
            <w:tcBorders>
              <w:top w:val="single" w:color="auto" w:sz="4" w:space="0"/>
              <w:left w:val="nil"/>
              <w:bottom w:val="single" w:color="auto" w:sz="4" w:space="0"/>
              <w:right w:val="single" w:color="auto" w:sz="4" w:space="0"/>
            </w:tcBorders>
            <w:vAlign w:val="center"/>
          </w:tcPr>
          <w:p w14:paraId="15CCDB07">
            <w:pPr>
              <w:rPr>
                <w:rFonts w:hint="eastAsia" w:ascii="宋体" w:hAnsi="宋体" w:eastAsia="宋体" w:cs="宋体"/>
                <w:i w:val="0"/>
                <w:iCs w:val="0"/>
                <w:color w:val="auto"/>
                <w:sz w:val="24"/>
                <w:szCs w:val="24"/>
                <w:highlight w:val="none"/>
                <w:lang w:eastAsia="zh-CN"/>
              </w:rPr>
            </w:pPr>
            <w:r>
              <w:rPr>
                <w:rFonts w:hint="eastAsia" w:ascii="宋体" w:hAnsi="宋体" w:cs="宋体"/>
                <w:i w:val="0"/>
                <w:iCs w:val="0"/>
                <w:color w:val="auto"/>
                <w:kern w:val="2"/>
                <w:sz w:val="24"/>
                <w:szCs w:val="24"/>
                <w:highlight w:val="none"/>
                <w:lang w:eastAsia="zh-CN"/>
              </w:rPr>
              <w:t>交货期：</w:t>
            </w:r>
            <w:r>
              <w:rPr>
                <w:rFonts w:hint="eastAsia" w:ascii="宋体" w:hAnsi="宋体" w:cs="宋体"/>
                <w:i w:val="0"/>
                <w:iCs w:val="0"/>
                <w:color w:val="auto"/>
                <w:sz w:val="24"/>
                <w:szCs w:val="24"/>
                <w:highlight w:val="none"/>
                <w:lang w:val="en-US" w:eastAsia="zh-CN"/>
              </w:rPr>
              <w:t>3</w:t>
            </w:r>
            <w:r>
              <w:rPr>
                <w:rFonts w:hint="eastAsia" w:ascii="宋体" w:hAnsi="宋体" w:cs="宋体"/>
                <w:i w:val="0"/>
                <w:iCs w:val="0"/>
                <w:color w:val="auto"/>
                <w:sz w:val="24"/>
                <w:szCs w:val="24"/>
                <w:highlight w:val="none"/>
                <w:lang w:eastAsia="zh-CN"/>
              </w:rPr>
              <w:t>0天</w:t>
            </w:r>
          </w:p>
        </w:tc>
        <w:tc>
          <w:tcPr>
            <w:tcW w:w="1770" w:type="dxa"/>
            <w:tcBorders>
              <w:top w:val="single" w:color="auto" w:sz="4" w:space="0"/>
              <w:left w:val="nil"/>
              <w:bottom w:val="single" w:color="auto" w:sz="4" w:space="0"/>
              <w:right w:val="single" w:color="auto" w:sz="4" w:space="0"/>
            </w:tcBorders>
            <w:vAlign w:val="center"/>
          </w:tcPr>
          <w:p w14:paraId="39D2EFA1">
            <w:pPr>
              <w:jc w:val="center"/>
              <w:rPr>
                <w:rFonts w:ascii="宋体" w:hAnsi="宋体" w:cs="宋体"/>
                <w:i w:val="0"/>
                <w:iCs w:val="0"/>
                <w:color w:val="auto"/>
                <w:sz w:val="24"/>
                <w:szCs w:val="24"/>
                <w:highlight w:val="none"/>
              </w:rPr>
            </w:pPr>
          </w:p>
        </w:tc>
        <w:tc>
          <w:tcPr>
            <w:tcW w:w="1600" w:type="dxa"/>
            <w:tcBorders>
              <w:top w:val="single" w:color="auto" w:sz="4" w:space="0"/>
              <w:left w:val="nil"/>
              <w:bottom w:val="single" w:color="auto" w:sz="4" w:space="0"/>
              <w:right w:val="single" w:color="auto" w:sz="4" w:space="0"/>
            </w:tcBorders>
            <w:vAlign w:val="center"/>
          </w:tcPr>
          <w:p w14:paraId="471E1B33">
            <w:pPr>
              <w:jc w:val="center"/>
              <w:rPr>
                <w:rFonts w:ascii="宋体" w:hAnsi="宋体" w:cs="宋体"/>
                <w:i w:val="0"/>
                <w:iCs w:val="0"/>
                <w:color w:val="auto"/>
                <w:sz w:val="24"/>
                <w:szCs w:val="24"/>
                <w:highlight w:val="none"/>
              </w:rPr>
            </w:pPr>
          </w:p>
        </w:tc>
        <w:tc>
          <w:tcPr>
            <w:tcW w:w="1241" w:type="dxa"/>
            <w:tcBorders>
              <w:top w:val="single" w:color="auto" w:sz="4" w:space="0"/>
              <w:left w:val="nil"/>
              <w:bottom w:val="single" w:color="auto" w:sz="4" w:space="0"/>
              <w:right w:val="single" w:color="auto" w:sz="4" w:space="0"/>
            </w:tcBorders>
            <w:vAlign w:val="center"/>
          </w:tcPr>
          <w:p w14:paraId="71A74608">
            <w:pPr>
              <w:jc w:val="center"/>
              <w:rPr>
                <w:rFonts w:ascii="宋体" w:hAnsi="宋体" w:cs="宋体"/>
                <w:i w:val="0"/>
                <w:iCs w:val="0"/>
                <w:color w:val="auto"/>
                <w:sz w:val="24"/>
                <w:szCs w:val="24"/>
                <w:highlight w:val="none"/>
              </w:rPr>
            </w:pPr>
          </w:p>
        </w:tc>
      </w:tr>
      <w:tr w14:paraId="7FA31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20" w:type="dxa"/>
            <w:tcBorders>
              <w:top w:val="single" w:color="auto" w:sz="4" w:space="0"/>
              <w:left w:val="single" w:color="auto" w:sz="4" w:space="0"/>
              <w:bottom w:val="single" w:color="auto" w:sz="4" w:space="0"/>
              <w:right w:val="single" w:color="auto" w:sz="4" w:space="0"/>
            </w:tcBorders>
            <w:vAlign w:val="center"/>
          </w:tcPr>
          <w:p w14:paraId="58522830">
            <w:pPr>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w:t>
            </w:r>
          </w:p>
        </w:tc>
        <w:tc>
          <w:tcPr>
            <w:tcW w:w="1925" w:type="dxa"/>
            <w:tcBorders>
              <w:top w:val="single" w:color="auto" w:sz="4" w:space="0"/>
              <w:left w:val="nil"/>
              <w:bottom w:val="single" w:color="auto" w:sz="4" w:space="0"/>
              <w:right w:val="single" w:color="auto" w:sz="4" w:space="0"/>
            </w:tcBorders>
            <w:vAlign w:val="center"/>
          </w:tcPr>
          <w:p w14:paraId="219F7869">
            <w:pPr>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“投标人须知前附表”第1.3.3款</w:t>
            </w:r>
          </w:p>
        </w:tc>
        <w:tc>
          <w:tcPr>
            <w:tcW w:w="2500" w:type="dxa"/>
            <w:tcBorders>
              <w:top w:val="single" w:color="auto" w:sz="4" w:space="0"/>
              <w:left w:val="nil"/>
              <w:bottom w:val="single" w:color="auto" w:sz="4" w:space="0"/>
              <w:right w:val="single" w:color="auto" w:sz="4" w:space="0"/>
            </w:tcBorders>
            <w:vAlign w:val="center"/>
          </w:tcPr>
          <w:p w14:paraId="6E4892B0">
            <w:pPr>
              <w:jc w:val="center"/>
              <w:rPr>
                <w:rFonts w:hint="eastAsia" w:ascii="宋体" w:hAnsi="宋体" w:eastAsia="宋体" w:cs="宋体"/>
                <w:i w:val="0"/>
                <w:iCs w:val="0"/>
                <w:color w:val="auto"/>
                <w:sz w:val="24"/>
                <w:szCs w:val="24"/>
                <w:highlight w:val="none"/>
                <w:lang w:val="en-US" w:eastAsia="zh-CN"/>
              </w:rPr>
            </w:pPr>
            <w:r>
              <w:rPr>
                <w:rFonts w:hint="eastAsia" w:ascii="宋体" w:hAnsi="宋体" w:cs="宋体"/>
                <w:i w:val="0"/>
                <w:iCs w:val="0"/>
                <w:color w:val="auto"/>
                <w:sz w:val="24"/>
                <w:szCs w:val="24"/>
                <w:highlight w:val="none"/>
                <w:lang w:eastAsia="zh-CN"/>
              </w:rPr>
              <w:t>交货地点</w:t>
            </w:r>
            <w:r>
              <w:rPr>
                <w:rFonts w:hint="eastAsia" w:ascii="宋体" w:hAnsi="宋体" w:cs="宋体"/>
                <w:i w:val="0"/>
                <w:iCs w:val="0"/>
                <w:color w:val="auto"/>
                <w:sz w:val="24"/>
                <w:szCs w:val="24"/>
                <w:highlight w:val="none"/>
              </w:rPr>
              <w:t>：</w:t>
            </w:r>
            <w:r>
              <w:rPr>
                <w:rFonts w:hint="eastAsia" w:ascii="宋体" w:hAnsi="宋体" w:cs="宋体"/>
                <w:i w:val="0"/>
                <w:iCs w:val="0"/>
                <w:color w:val="auto"/>
                <w:sz w:val="24"/>
                <w:highlight w:val="none"/>
                <w:lang w:eastAsia="zh-CN"/>
              </w:rPr>
              <w:t>云南</w:t>
            </w:r>
            <w:r>
              <w:rPr>
                <w:rFonts w:hint="eastAsia" w:ascii="宋体" w:hAnsi="宋体" w:cs="宋体"/>
                <w:i w:val="0"/>
                <w:iCs w:val="0"/>
                <w:color w:val="auto"/>
                <w:sz w:val="24"/>
                <w:highlight w:val="none"/>
                <w:lang w:val="en-US" w:eastAsia="zh-CN"/>
              </w:rPr>
              <w:t>省红河州第二人民医院（建水县泽园路28号）指定地点。</w:t>
            </w:r>
          </w:p>
        </w:tc>
        <w:tc>
          <w:tcPr>
            <w:tcW w:w="1770" w:type="dxa"/>
            <w:tcBorders>
              <w:top w:val="single" w:color="auto" w:sz="4" w:space="0"/>
              <w:left w:val="nil"/>
              <w:bottom w:val="single" w:color="auto" w:sz="4" w:space="0"/>
              <w:right w:val="single" w:color="auto" w:sz="4" w:space="0"/>
            </w:tcBorders>
            <w:vAlign w:val="center"/>
          </w:tcPr>
          <w:p w14:paraId="18B73512">
            <w:pPr>
              <w:jc w:val="center"/>
              <w:rPr>
                <w:rFonts w:ascii="宋体" w:hAnsi="宋体" w:cs="宋体"/>
                <w:i w:val="0"/>
                <w:iCs w:val="0"/>
                <w:color w:val="auto"/>
                <w:sz w:val="24"/>
                <w:szCs w:val="24"/>
                <w:highlight w:val="none"/>
              </w:rPr>
            </w:pPr>
          </w:p>
        </w:tc>
        <w:tc>
          <w:tcPr>
            <w:tcW w:w="1600" w:type="dxa"/>
            <w:tcBorders>
              <w:top w:val="single" w:color="auto" w:sz="4" w:space="0"/>
              <w:left w:val="nil"/>
              <w:bottom w:val="single" w:color="auto" w:sz="4" w:space="0"/>
              <w:right w:val="single" w:color="auto" w:sz="4" w:space="0"/>
            </w:tcBorders>
            <w:vAlign w:val="center"/>
          </w:tcPr>
          <w:p w14:paraId="3A8541D0">
            <w:pPr>
              <w:jc w:val="center"/>
              <w:rPr>
                <w:rFonts w:ascii="宋体" w:hAnsi="宋体" w:cs="宋体"/>
                <w:i w:val="0"/>
                <w:iCs w:val="0"/>
                <w:color w:val="auto"/>
                <w:sz w:val="24"/>
                <w:szCs w:val="24"/>
                <w:highlight w:val="none"/>
              </w:rPr>
            </w:pPr>
          </w:p>
        </w:tc>
        <w:tc>
          <w:tcPr>
            <w:tcW w:w="1241" w:type="dxa"/>
            <w:tcBorders>
              <w:top w:val="single" w:color="auto" w:sz="4" w:space="0"/>
              <w:left w:val="nil"/>
              <w:bottom w:val="single" w:color="auto" w:sz="4" w:space="0"/>
              <w:right w:val="single" w:color="auto" w:sz="4" w:space="0"/>
            </w:tcBorders>
            <w:vAlign w:val="center"/>
          </w:tcPr>
          <w:p w14:paraId="3B03AD55">
            <w:pPr>
              <w:jc w:val="center"/>
              <w:rPr>
                <w:rFonts w:ascii="宋体" w:hAnsi="宋体" w:cs="宋体"/>
                <w:i w:val="0"/>
                <w:iCs w:val="0"/>
                <w:color w:val="auto"/>
                <w:sz w:val="24"/>
                <w:szCs w:val="24"/>
                <w:highlight w:val="none"/>
              </w:rPr>
            </w:pPr>
          </w:p>
        </w:tc>
      </w:tr>
      <w:tr w14:paraId="77731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20" w:type="dxa"/>
            <w:tcBorders>
              <w:top w:val="single" w:color="auto" w:sz="4" w:space="0"/>
              <w:left w:val="single" w:color="auto" w:sz="4" w:space="0"/>
              <w:bottom w:val="single" w:color="auto" w:sz="4" w:space="0"/>
              <w:right w:val="single" w:color="auto" w:sz="4" w:space="0"/>
            </w:tcBorders>
            <w:vAlign w:val="center"/>
          </w:tcPr>
          <w:p w14:paraId="32A3D255">
            <w:pPr>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w:t>
            </w:r>
          </w:p>
        </w:tc>
        <w:tc>
          <w:tcPr>
            <w:tcW w:w="1925" w:type="dxa"/>
            <w:tcBorders>
              <w:top w:val="single" w:color="auto" w:sz="4" w:space="0"/>
              <w:left w:val="nil"/>
              <w:bottom w:val="single" w:color="auto" w:sz="4" w:space="0"/>
              <w:right w:val="single" w:color="auto" w:sz="4" w:space="0"/>
            </w:tcBorders>
            <w:vAlign w:val="center"/>
          </w:tcPr>
          <w:p w14:paraId="5B19B564">
            <w:pPr>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“投标人须知前附表”第3.3.1款</w:t>
            </w:r>
          </w:p>
        </w:tc>
        <w:tc>
          <w:tcPr>
            <w:tcW w:w="2500" w:type="dxa"/>
            <w:tcBorders>
              <w:top w:val="single" w:color="auto" w:sz="4" w:space="0"/>
              <w:left w:val="nil"/>
              <w:bottom w:val="single" w:color="auto" w:sz="4" w:space="0"/>
              <w:right w:val="single" w:color="auto" w:sz="4" w:space="0"/>
            </w:tcBorders>
            <w:vAlign w:val="center"/>
          </w:tcPr>
          <w:p w14:paraId="2A9BF30F">
            <w:pPr>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投标有效期：</w:t>
            </w:r>
            <w:r>
              <w:rPr>
                <w:rFonts w:hint="eastAsia" w:ascii="宋体" w:hAnsi="宋体" w:cs="宋体"/>
                <w:i w:val="0"/>
                <w:iCs w:val="0"/>
                <w:color w:val="auto"/>
                <w:kern w:val="2"/>
                <w:sz w:val="24"/>
                <w:szCs w:val="24"/>
                <w:highlight w:val="none"/>
              </w:rPr>
              <w:t>90日历天(从递交投标文件的截止之日起算)</w:t>
            </w:r>
          </w:p>
        </w:tc>
        <w:tc>
          <w:tcPr>
            <w:tcW w:w="1770" w:type="dxa"/>
            <w:tcBorders>
              <w:top w:val="single" w:color="auto" w:sz="4" w:space="0"/>
              <w:left w:val="nil"/>
              <w:bottom w:val="single" w:color="auto" w:sz="4" w:space="0"/>
              <w:right w:val="single" w:color="auto" w:sz="4" w:space="0"/>
            </w:tcBorders>
            <w:vAlign w:val="center"/>
          </w:tcPr>
          <w:p w14:paraId="3C52ECFC">
            <w:pPr>
              <w:jc w:val="center"/>
              <w:rPr>
                <w:rFonts w:ascii="宋体" w:hAnsi="宋体" w:cs="宋体"/>
                <w:i w:val="0"/>
                <w:iCs w:val="0"/>
                <w:color w:val="auto"/>
                <w:sz w:val="24"/>
                <w:szCs w:val="24"/>
                <w:highlight w:val="none"/>
              </w:rPr>
            </w:pPr>
          </w:p>
        </w:tc>
        <w:tc>
          <w:tcPr>
            <w:tcW w:w="1600" w:type="dxa"/>
            <w:tcBorders>
              <w:top w:val="single" w:color="auto" w:sz="4" w:space="0"/>
              <w:left w:val="nil"/>
              <w:bottom w:val="single" w:color="auto" w:sz="4" w:space="0"/>
              <w:right w:val="single" w:color="auto" w:sz="4" w:space="0"/>
            </w:tcBorders>
            <w:vAlign w:val="center"/>
          </w:tcPr>
          <w:p w14:paraId="2955BFE9">
            <w:pPr>
              <w:jc w:val="center"/>
              <w:rPr>
                <w:rFonts w:ascii="宋体" w:hAnsi="宋体" w:cs="宋体"/>
                <w:i w:val="0"/>
                <w:iCs w:val="0"/>
                <w:color w:val="auto"/>
                <w:sz w:val="24"/>
                <w:szCs w:val="24"/>
                <w:highlight w:val="none"/>
              </w:rPr>
            </w:pPr>
          </w:p>
        </w:tc>
        <w:tc>
          <w:tcPr>
            <w:tcW w:w="1241" w:type="dxa"/>
            <w:tcBorders>
              <w:top w:val="single" w:color="auto" w:sz="4" w:space="0"/>
              <w:left w:val="nil"/>
              <w:bottom w:val="single" w:color="auto" w:sz="4" w:space="0"/>
              <w:right w:val="single" w:color="auto" w:sz="4" w:space="0"/>
            </w:tcBorders>
            <w:vAlign w:val="center"/>
          </w:tcPr>
          <w:p w14:paraId="25139582">
            <w:pPr>
              <w:jc w:val="center"/>
              <w:rPr>
                <w:rFonts w:ascii="宋体" w:hAnsi="宋体" w:cs="宋体"/>
                <w:i w:val="0"/>
                <w:iCs w:val="0"/>
                <w:color w:val="auto"/>
                <w:sz w:val="24"/>
                <w:szCs w:val="24"/>
                <w:highlight w:val="none"/>
              </w:rPr>
            </w:pPr>
          </w:p>
        </w:tc>
      </w:tr>
      <w:tr w14:paraId="21D2F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20" w:type="dxa"/>
            <w:tcBorders>
              <w:top w:val="single" w:color="auto" w:sz="4" w:space="0"/>
              <w:left w:val="single" w:color="auto" w:sz="4" w:space="0"/>
              <w:bottom w:val="single" w:color="auto" w:sz="4" w:space="0"/>
              <w:right w:val="single" w:color="auto" w:sz="4" w:space="0"/>
            </w:tcBorders>
            <w:vAlign w:val="center"/>
          </w:tcPr>
          <w:p w14:paraId="65079BFF">
            <w:pPr>
              <w:jc w:val="center"/>
              <w:rPr>
                <w:rFonts w:hint="eastAsia" w:ascii="宋体" w:hAnsi="宋体" w:cs="宋体"/>
                <w:i w:val="0"/>
                <w:iCs w:val="0"/>
                <w:color w:val="auto"/>
                <w:sz w:val="24"/>
                <w:szCs w:val="24"/>
                <w:highlight w:val="none"/>
              </w:rPr>
            </w:pPr>
          </w:p>
        </w:tc>
        <w:tc>
          <w:tcPr>
            <w:tcW w:w="1925" w:type="dxa"/>
            <w:tcBorders>
              <w:top w:val="single" w:color="auto" w:sz="4" w:space="0"/>
              <w:left w:val="nil"/>
              <w:bottom w:val="single" w:color="auto" w:sz="4" w:space="0"/>
              <w:right w:val="single" w:color="auto" w:sz="4" w:space="0"/>
            </w:tcBorders>
            <w:vAlign w:val="center"/>
          </w:tcPr>
          <w:p w14:paraId="46BE5219">
            <w:pPr>
              <w:jc w:val="center"/>
              <w:rPr>
                <w:rFonts w:hint="eastAsia" w:ascii="宋体" w:hAnsi="宋体" w:cs="宋体"/>
                <w:i w:val="0"/>
                <w:iCs w:val="0"/>
                <w:color w:val="auto"/>
                <w:sz w:val="24"/>
                <w:szCs w:val="24"/>
                <w:highlight w:val="none"/>
              </w:rPr>
            </w:pPr>
          </w:p>
        </w:tc>
        <w:tc>
          <w:tcPr>
            <w:tcW w:w="2500" w:type="dxa"/>
            <w:tcBorders>
              <w:top w:val="single" w:color="auto" w:sz="4" w:space="0"/>
              <w:left w:val="nil"/>
              <w:bottom w:val="single" w:color="auto" w:sz="4" w:space="0"/>
              <w:right w:val="single" w:color="auto" w:sz="4" w:space="0"/>
            </w:tcBorders>
            <w:vAlign w:val="center"/>
          </w:tcPr>
          <w:p w14:paraId="568FC426">
            <w:pPr>
              <w:jc w:val="center"/>
              <w:rPr>
                <w:rFonts w:hint="eastAsia" w:ascii="宋体" w:hAnsi="宋体" w:cs="宋体"/>
                <w:i w:val="0"/>
                <w:iCs w:val="0"/>
                <w:color w:val="auto"/>
                <w:sz w:val="24"/>
                <w:szCs w:val="24"/>
                <w:highlight w:val="none"/>
              </w:rPr>
            </w:pPr>
          </w:p>
        </w:tc>
        <w:tc>
          <w:tcPr>
            <w:tcW w:w="1770" w:type="dxa"/>
            <w:tcBorders>
              <w:top w:val="single" w:color="auto" w:sz="4" w:space="0"/>
              <w:left w:val="nil"/>
              <w:bottom w:val="single" w:color="auto" w:sz="4" w:space="0"/>
              <w:right w:val="single" w:color="auto" w:sz="4" w:space="0"/>
            </w:tcBorders>
            <w:vAlign w:val="center"/>
          </w:tcPr>
          <w:p w14:paraId="72978209">
            <w:pPr>
              <w:jc w:val="center"/>
              <w:rPr>
                <w:rFonts w:ascii="宋体" w:hAnsi="宋体" w:cs="宋体"/>
                <w:i w:val="0"/>
                <w:iCs w:val="0"/>
                <w:color w:val="auto"/>
                <w:sz w:val="24"/>
                <w:szCs w:val="24"/>
                <w:highlight w:val="none"/>
              </w:rPr>
            </w:pPr>
          </w:p>
        </w:tc>
        <w:tc>
          <w:tcPr>
            <w:tcW w:w="1600" w:type="dxa"/>
            <w:tcBorders>
              <w:top w:val="single" w:color="auto" w:sz="4" w:space="0"/>
              <w:left w:val="nil"/>
              <w:bottom w:val="single" w:color="auto" w:sz="4" w:space="0"/>
              <w:right w:val="single" w:color="auto" w:sz="4" w:space="0"/>
            </w:tcBorders>
            <w:vAlign w:val="center"/>
          </w:tcPr>
          <w:p w14:paraId="545B0D4B">
            <w:pPr>
              <w:jc w:val="center"/>
              <w:rPr>
                <w:rFonts w:ascii="宋体" w:hAnsi="宋体" w:cs="宋体"/>
                <w:i w:val="0"/>
                <w:iCs w:val="0"/>
                <w:color w:val="auto"/>
                <w:sz w:val="24"/>
                <w:szCs w:val="24"/>
                <w:highlight w:val="none"/>
              </w:rPr>
            </w:pPr>
          </w:p>
        </w:tc>
        <w:tc>
          <w:tcPr>
            <w:tcW w:w="1241" w:type="dxa"/>
            <w:tcBorders>
              <w:top w:val="single" w:color="auto" w:sz="4" w:space="0"/>
              <w:left w:val="nil"/>
              <w:bottom w:val="single" w:color="auto" w:sz="4" w:space="0"/>
              <w:right w:val="single" w:color="auto" w:sz="4" w:space="0"/>
            </w:tcBorders>
            <w:vAlign w:val="center"/>
          </w:tcPr>
          <w:p w14:paraId="15D754FD">
            <w:pPr>
              <w:jc w:val="center"/>
              <w:rPr>
                <w:rFonts w:ascii="宋体" w:hAnsi="宋体" w:cs="宋体"/>
                <w:i w:val="0"/>
                <w:iCs w:val="0"/>
                <w:color w:val="auto"/>
                <w:sz w:val="24"/>
                <w:szCs w:val="24"/>
                <w:highlight w:val="none"/>
              </w:rPr>
            </w:pPr>
          </w:p>
        </w:tc>
      </w:tr>
    </w:tbl>
    <w:p w14:paraId="18F6CAA2">
      <w:pPr>
        <w:rPr>
          <w:rFonts w:ascii="宋体" w:hAnsi="宋体" w:cs="宋体"/>
          <w:i w:val="0"/>
          <w:iCs w:val="0"/>
          <w:color w:val="auto"/>
          <w:sz w:val="24"/>
          <w:szCs w:val="24"/>
          <w:highlight w:val="none"/>
        </w:rPr>
      </w:pPr>
      <w:r>
        <w:rPr>
          <w:rFonts w:ascii="宋体" w:hAnsi="宋体" w:cs="宋体"/>
          <w:i w:val="0"/>
          <w:iCs w:val="0"/>
          <w:color w:val="auto"/>
          <w:sz w:val="24"/>
          <w:szCs w:val="24"/>
          <w:highlight w:val="none"/>
        </w:rPr>
        <w:br w:type="page"/>
      </w:r>
    </w:p>
    <w:p w14:paraId="590C1F98">
      <w:pPr>
        <w:spacing w:before="158" w:beforeLines="50" w:line="360" w:lineRule="auto"/>
        <w:ind w:firstLine="241" w:firstLineChars="100"/>
        <w:jc w:val="center"/>
        <w:rPr>
          <w:rFonts w:hint="eastAsia" w:ascii="宋体" w:hAnsi="宋体"/>
          <w:b/>
          <w:bCs/>
          <w:color w:val="000000"/>
          <w:sz w:val="24"/>
          <w:szCs w:val="24"/>
          <w:highlight w:val="none"/>
        </w:rPr>
      </w:pPr>
      <w:r>
        <w:rPr>
          <w:rFonts w:hint="eastAsia" w:ascii="宋体" w:hAnsi="宋体"/>
          <w:b/>
          <w:bCs/>
          <w:color w:val="000000"/>
          <w:sz w:val="24"/>
          <w:szCs w:val="24"/>
          <w:highlight w:val="none"/>
        </w:rPr>
        <w:t>(二)技术规格偏离表</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7"/>
        <w:gridCol w:w="1912"/>
        <w:gridCol w:w="1839"/>
        <w:gridCol w:w="1593"/>
        <w:gridCol w:w="1500"/>
        <w:gridCol w:w="750"/>
        <w:gridCol w:w="975"/>
      </w:tblGrid>
      <w:tr w14:paraId="72AC9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967" w:type="dxa"/>
            <w:noWrap w:val="0"/>
            <w:vAlign w:val="center"/>
          </w:tcPr>
          <w:p w14:paraId="18623A3A">
            <w:pPr>
              <w:spacing w:line="400" w:lineRule="exact"/>
              <w:jc w:val="center"/>
              <w:rPr>
                <w:rFonts w:hint="eastAsia" w:ascii="宋体" w:hAnsi="宋体" w:cs="宋体"/>
                <w:b/>
                <w:color w:val="000000"/>
                <w:sz w:val="24"/>
                <w:szCs w:val="24"/>
                <w:highlight w:val="none"/>
              </w:rPr>
            </w:pPr>
            <w:r>
              <w:rPr>
                <w:rFonts w:hint="eastAsia" w:ascii="宋体" w:hAnsi="宋体" w:cs="宋体"/>
                <w:b/>
                <w:color w:val="000000"/>
                <w:sz w:val="24"/>
                <w:szCs w:val="24"/>
                <w:highlight w:val="none"/>
              </w:rPr>
              <w:t>序号</w:t>
            </w:r>
          </w:p>
        </w:tc>
        <w:tc>
          <w:tcPr>
            <w:tcW w:w="1912" w:type="dxa"/>
            <w:noWrap w:val="0"/>
            <w:vAlign w:val="center"/>
          </w:tcPr>
          <w:p w14:paraId="6C773AC5">
            <w:pPr>
              <w:spacing w:line="400" w:lineRule="exact"/>
              <w:jc w:val="center"/>
              <w:rPr>
                <w:rFonts w:hint="eastAsia" w:ascii="宋体" w:hAnsi="宋体" w:cs="宋体"/>
                <w:b/>
                <w:color w:val="000000"/>
                <w:sz w:val="24"/>
                <w:szCs w:val="24"/>
                <w:highlight w:val="none"/>
              </w:rPr>
            </w:pPr>
            <w:r>
              <w:rPr>
                <w:rFonts w:hint="eastAsia" w:ascii="宋体" w:hAnsi="宋体" w:cs="宋体"/>
                <w:b/>
                <w:color w:val="000000"/>
                <w:sz w:val="24"/>
                <w:szCs w:val="24"/>
                <w:highlight w:val="none"/>
              </w:rPr>
              <w:t>货物名称</w:t>
            </w:r>
          </w:p>
        </w:tc>
        <w:tc>
          <w:tcPr>
            <w:tcW w:w="1839" w:type="dxa"/>
            <w:noWrap w:val="0"/>
            <w:vAlign w:val="center"/>
          </w:tcPr>
          <w:p w14:paraId="2976E1E7">
            <w:pPr>
              <w:spacing w:line="400" w:lineRule="exact"/>
              <w:jc w:val="center"/>
              <w:rPr>
                <w:rFonts w:hint="eastAsia" w:ascii="宋体" w:hAnsi="宋体" w:eastAsia="宋体" w:cs="宋体"/>
                <w:b/>
                <w:color w:val="000000"/>
                <w:sz w:val="24"/>
                <w:szCs w:val="24"/>
                <w:highlight w:val="none"/>
                <w:lang w:eastAsia="zh-CN"/>
              </w:rPr>
            </w:pPr>
            <w:r>
              <w:rPr>
                <w:rFonts w:hint="eastAsia" w:ascii="宋体" w:hAnsi="宋体" w:cs="宋体"/>
                <w:b/>
                <w:color w:val="000000"/>
                <w:sz w:val="24"/>
                <w:szCs w:val="24"/>
                <w:highlight w:val="none"/>
                <w:lang w:eastAsia="zh-CN"/>
              </w:rPr>
              <w:t>招标文件</w:t>
            </w:r>
          </w:p>
          <w:p w14:paraId="35F99932">
            <w:pPr>
              <w:spacing w:line="400" w:lineRule="exact"/>
              <w:jc w:val="center"/>
              <w:rPr>
                <w:rFonts w:hint="eastAsia" w:ascii="宋体" w:hAnsi="宋体" w:cs="宋体"/>
                <w:b/>
                <w:color w:val="000000"/>
                <w:sz w:val="24"/>
                <w:szCs w:val="24"/>
                <w:highlight w:val="none"/>
              </w:rPr>
            </w:pPr>
            <w:r>
              <w:rPr>
                <w:rFonts w:hint="eastAsia" w:ascii="宋体" w:hAnsi="宋体" w:cs="宋体"/>
                <w:b/>
                <w:color w:val="000000"/>
                <w:sz w:val="24"/>
                <w:szCs w:val="24"/>
                <w:highlight w:val="none"/>
              </w:rPr>
              <w:t>条款号</w:t>
            </w:r>
          </w:p>
        </w:tc>
        <w:tc>
          <w:tcPr>
            <w:tcW w:w="1593" w:type="dxa"/>
            <w:noWrap w:val="0"/>
            <w:vAlign w:val="center"/>
          </w:tcPr>
          <w:p w14:paraId="3C1551A1">
            <w:pPr>
              <w:spacing w:line="400" w:lineRule="exact"/>
              <w:jc w:val="center"/>
              <w:rPr>
                <w:rFonts w:hint="eastAsia" w:ascii="宋体" w:hAnsi="宋体" w:cs="宋体"/>
                <w:b/>
                <w:color w:val="000000"/>
                <w:sz w:val="24"/>
                <w:szCs w:val="24"/>
                <w:highlight w:val="none"/>
              </w:rPr>
            </w:pPr>
            <w:r>
              <w:rPr>
                <w:rFonts w:hint="eastAsia" w:ascii="宋体" w:hAnsi="宋体" w:cs="宋体"/>
                <w:b/>
                <w:color w:val="000000"/>
                <w:sz w:val="24"/>
                <w:szCs w:val="24"/>
                <w:highlight w:val="none"/>
              </w:rPr>
              <w:t>招标技术规格及要求</w:t>
            </w:r>
          </w:p>
        </w:tc>
        <w:tc>
          <w:tcPr>
            <w:tcW w:w="1500" w:type="dxa"/>
            <w:noWrap w:val="0"/>
            <w:vAlign w:val="center"/>
          </w:tcPr>
          <w:p w14:paraId="7ECEA367">
            <w:pPr>
              <w:spacing w:line="400" w:lineRule="exact"/>
              <w:jc w:val="center"/>
              <w:rPr>
                <w:rFonts w:hint="eastAsia" w:ascii="宋体" w:hAnsi="宋体" w:cs="宋体"/>
                <w:b/>
                <w:color w:val="000000"/>
                <w:sz w:val="24"/>
                <w:szCs w:val="24"/>
                <w:highlight w:val="none"/>
              </w:rPr>
            </w:pPr>
            <w:r>
              <w:rPr>
                <w:rFonts w:hint="eastAsia" w:ascii="宋体" w:hAnsi="宋体" w:cs="宋体"/>
                <w:b/>
                <w:color w:val="000000"/>
                <w:sz w:val="24"/>
                <w:szCs w:val="24"/>
                <w:highlight w:val="none"/>
              </w:rPr>
              <w:t>投标技术</w:t>
            </w:r>
          </w:p>
          <w:p w14:paraId="59FDCDA3">
            <w:pPr>
              <w:spacing w:line="400" w:lineRule="exact"/>
              <w:jc w:val="center"/>
              <w:rPr>
                <w:rFonts w:hint="eastAsia" w:ascii="宋体" w:hAnsi="宋体" w:cs="宋体"/>
                <w:b/>
                <w:color w:val="000000"/>
                <w:sz w:val="24"/>
                <w:szCs w:val="24"/>
                <w:highlight w:val="none"/>
              </w:rPr>
            </w:pPr>
            <w:r>
              <w:rPr>
                <w:rFonts w:hint="eastAsia" w:ascii="宋体" w:hAnsi="宋体" w:cs="宋体"/>
                <w:b/>
                <w:color w:val="000000"/>
                <w:sz w:val="24"/>
                <w:szCs w:val="24"/>
                <w:highlight w:val="none"/>
              </w:rPr>
              <w:t>规格及要求</w:t>
            </w:r>
          </w:p>
        </w:tc>
        <w:tc>
          <w:tcPr>
            <w:tcW w:w="750" w:type="dxa"/>
            <w:noWrap w:val="0"/>
            <w:vAlign w:val="center"/>
          </w:tcPr>
          <w:p w14:paraId="629667B4">
            <w:pPr>
              <w:spacing w:line="400" w:lineRule="exact"/>
              <w:jc w:val="center"/>
              <w:rPr>
                <w:rFonts w:hint="eastAsia" w:ascii="宋体" w:hAnsi="宋体" w:cs="宋体"/>
                <w:b/>
                <w:color w:val="000000"/>
                <w:sz w:val="24"/>
                <w:szCs w:val="24"/>
                <w:highlight w:val="none"/>
              </w:rPr>
            </w:pPr>
            <w:r>
              <w:rPr>
                <w:rFonts w:hint="eastAsia" w:ascii="宋体" w:hAnsi="宋体" w:cs="宋体"/>
                <w:b/>
                <w:color w:val="000000"/>
                <w:sz w:val="24"/>
                <w:szCs w:val="24"/>
                <w:highlight w:val="none"/>
              </w:rPr>
              <w:t>偏离情况</w:t>
            </w:r>
          </w:p>
        </w:tc>
        <w:tc>
          <w:tcPr>
            <w:tcW w:w="975" w:type="dxa"/>
            <w:noWrap w:val="0"/>
            <w:vAlign w:val="center"/>
          </w:tcPr>
          <w:p w14:paraId="258CAC76">
            <w:pPr>
              <w:spacing w:line="400" w:lineRule="exact"/>
              <w:jc w:val="center"/>
              <w:rPr>
                <w:rFonts w:hint="eastAsia" w:ascii="宋体" w:hAnsi="宋体" w:cs="宋体"/>
                <w:b/>
                <w:color w:val="000000"/>
                <w:sz w:val="24"/>
                <w:szCs w:val="24"/>
                <w:highlight w:val="none"/>
              </w:rPr>
            </w:pPr>
            <w:r>
              <w:rPr>
                <w:rFonts w:hint="eastAsia" w:ascii="宋体" w:hAnsi="宋体" w:cs="宋体"/>
                <w:b/>
                <w:color w:val="000000"/>
                <w:sz w:val="24"/>
                <w:szCs w:val="24"/>
                <w:highlight w:val="none"/>
              </w:rPr>
              <w:t>说明</w:t>
            </w:r>
          </w:p>
        </w:tc>
      </w:tr>
      <w:tr w14:paraId="61307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967" w:type="dxa"/>
            <w:noWrap w:val="0"/>
            <w:vAlign w:val="center"/>
          </w:tcPr>
          <w:p w14:paraId="1752DB4D">
            <w:pPr>
              <w:spacing w:line="480" w:lineRule="exact"/>
              <w:jc w:val="center"/>
              <w:rPr>
                <w:rFonts w:hint="eastAsia"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1</w:t>
            </w:r>
          </w:p>
        </w:tc>
        <w:tc>
          <w:tcPr>
            <w:tcW w:w="1912" w:type="dxa"/>
            <w:noWrap w:val="0"/>
            <w:vAlign w:val="top"/>
          </w:tcPr>
          <w:p w14:paraId="41EA9A0F">
            <w:pPr>
              <w:spacing w:line="480" w:lineRule="exact"/>
              <w:rPr>
                <w:rFonts w:hint="eastAsia" w:ascii="宋体" w:hAnsi="宋体" w:cs="宋体"/>
                <w:color w:val="000000"/>
                <w:sz w:val="24"/>
                <w:szCs w:val="24"/>
                <w:highlight w:val="none"/>
              </w:rPr>
            </w:pPr>
          </w:p>
        </w:tc>
        <w:tc>
          <w:tcPr>
            <w:tcW w:w="1839" w:type="dxa"/>
            <w:noWrap w:val="0"/>
            <w:vAlign w:val="top"/>
          </w:tcPr>
          <w:p w14:paraId="195F719C">
            <w:pPr>
              <w:spacing w:line="480" w:lineRule="exact"/>
              <w:rPr>
                <w:rFonts w:hint="eastAsia" w:ascii="宋体" w:hAnsi="宋体" w:cs="宋体"/>
                <w:color w:val="000000"/>
                <w:sz w:val="24"/>
                <w:szCs w:val="24"/>
                <w:highlight w:val="none"/>
              </w:rPr>
            </w:pPr>
          </w:p>
        </w:tc>
        <w:tc>
          <w:tcPr>
            <w:tcW w:w="1593" w:type="dxa"/>
            <w:noWrap w:val="0"/>
            <w:vAlign w:val="top"/>
          </w:tcPr>
          <w:p w14:paraId="5F7C8F27">
            <w:pPr>
              <w:spacing w:line="480" w:lineRule="exact"/>
              <w:rPr>
                <w:rFonts w:hint="eastAsia" w:ascii="宋体" w:hAnsi="宋体" w:cs="宋体"/>
                <w:color w:val="000000"/>
                <w:sz w:val="24"/>
                <w:szCs w:val="24"/>
                <w:highlight w:val="none"/>
              </w:rPr>
            </w:pPr>
          </w:p>
        </w:tc>
        <w:tc>
          <w:tcPr>
            <w:tcW w:w="1500" w:type="dxa"/>
            <w:noWrap w:val="0"/>
            <w:vAlign w:val="top"/>
          </w:tcPr>
          <w:p w14:paraId="055DE542">
            <w:pPr>
              <w:spacing w:line="480" w:lineRule="exact"/>
              <w:rPr>
                <w:rFonts w:hint="eastAsia" w:ascii="宋体" w:hAnsi="宋体" w:cs="宋体"/>
                <w:color w:val="000000"/>
                <w:sz w:val="24"/>
                <w:szCs w:val="24"/>
                <w:highlight w:val="none"/>
              </w:rPr>
            </w:pPr>
          </w:p>
        </w:tc>
        <w:tc>
          <w:tcPr>
            <w:tcW w:w="750" w:type="dxa"/>
            <w:noWrap w:val="0"/>
            <w:vAlign w:val="top"/>
          </w:tcPr>
          <w:p w14:paraId="0E9591E7">
            <w:pPr>
              <w:spacing w:line="480" w:lineRule="exact"/>
              <w:rPr>
                <w:rFonts w:hint="eastAsia" w:ascii="宋体" w:hAnsi="宋体" w:cs="宋体"/>
                <w:color w:val="000000"/>
                <w:sz w:val="24"/>
                <w:szCs w:val="24"/>
                <w:highlight w:val="none"/>
              </w:rPr>
            </w:pPr>
          </w:p>
        </w:tc>
        <w:tc>
          <w:tcPr>
            <w:tcW w:w="975" w:type="dxa"/>
            <w:noWrap w:val="0"/>
            <w:vAlign w:val="top"/>
          </w:tcPr>
          <w:p w14:paraId="6EE7109F">
            <w:pPr>
              <w:spacing w:line="480" w:lineRule="exact"/>
              <w:rPr>
                <w:rFonts w:hint="eastAsia" w:ascii="宋体" w:hAnsi="宋体" w:cs="宋体"/>
                <w:color w:val="000000"/>
                <w:sz w:val="24"/>
                <w:szCs w:val="24"/>
                <w:highlight w:val="none"/>
              </w:rPr>
            </w:pPr>
          </w:p>
        </w:tc>
      </w:tr>
      <w:tr w14:paraId="356F2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967" w:type="dxa"/>
            <w:noWrap w:val="0"/>
            <w:vAlign w:val="center"/>
          </w:tcPr>
          <w:p w14:paraId="24A31C85">
            <w:pPr>
              <w:spacing w:line="480" w:lineRule="exact"/>
              <w:jc w:val="center"/>
              <w:rPr>
                <w:rFonts w:hint="eastAsia"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2</w:t>
            </w:r>
          </w:p>
        </w:tc>
        <w:tc>
          <w:tcPr>
            <w:tcW w:w="1912" w:type="dxa"/>
            <w:noWrap w:val="0"/>
            <w:vAlign w:val="top"/>
          </w:tcPr>
          <w:p w14:paraId="31A2D83E">
            <w:pPr>
              <w:spacing w:line="480" w:lineRule="exact"/>
              <w:rPr>
                <w:rFonts w:hint="eastAsia" w:ascii="宋体" w:hAnsi="宋体" w:cs="宋体"/>
                <w:color w:val="000000"/>
                <w:sz w:val="24"/>
                <w:szCs w:val="24"/>
                <w:highlight w:val="none"/>
              </w:rPr>
            </w:pPr>
          </w:p>
        </w:tc>
        <w:tc>
          <w:tcPr>
            <w:tcW w:w="1839" w:type="dxa"/>
            <w:noWrap w:val="0"/>
            <w:vAlign w:val="top"/>
          </w:tcPr>
          <w:p w14:paraId="05DF2F61">
            <w:pPr>
              <w:spacing w:line="480" w:lineRule="exact"/>
              <w:rPr>
                <w:rFonts w:hint="eastAsia" w:ascii="宋体" w:hAnsi="宋体" w:cs="宋体"/>
                <w:color w:val="000000"/>
                <w:sz w:val="24"/>
                <w:szCs w:val="24"/>
                <w:highlight w:val="none"/>
              </w:rPr>
            </w:pPr>
          </w:p>
        </w:tc>
        <w:tc>
          <w:tcPr>
            <w:tcW w:w="1593" w:type="dxa"/>
            <w:noWrap w:val="0"/>
            <w:vAlign w:val="top"/>
          </w:tcPr>
          <w:p w14:paraId="1F541518">
            <w:pPr>
              <w:spacing w:line="480" w:lineRule="exact"/>
              <w:rPr>
                <w:rFonts w:hint="eastAsia" w:ascii="宋体" w:hAnsi="宋体" w:cs="宋体"/>
                <w:color w:val="000000"/>
                <w:sz w:val="24"/>
                <w:szCs w:val="24"/>
                <w:highlight w:val="none"/>
              </w:rPr>
            </w:pPr>
          </w:p>
        </w:tc>
        <w:tc>
          <w:tcPr>
            <w:tcW w:w="1500" w:type="dxa"/>
            <w:noWrap w:val="0"/>
            <w:vAlign w:val="top"/>
          </w:tcPr>
          <w:p w14:paraId="6E193AC8">
            <w:pPr>
              <w:spacing w:line="480" w:lineRule="exact"/>
              <w:rPr>
                <w:rFonts w:hint="eastAsia" w:ascii="宋体" w:hAnsi="宋体" w:cs="宋体"/>
                <w:color w:val="000000"/>
                <w:sz w:val="24"/>
                <w:szCs w:val="24"/>
                <w:highlight w:val="none"/>
              </w:rPr>
            </w:pPr>
          </w:p>
        </w:tc>
        <w:tc>
          <w:tcPr>
            <w:tcW w:w="750" w:type="dxa"/>
            <w:noWrap w:val="0"/>
            <w:vAlign w:val="top"/>
          </w:tcPr>
          <w:p w14:paraId="2681EC8F">
            <w:pPr>
              <w:spacing w:line="480" w:lineRule="exact"/>
              <w:rPr>
                <w:rFonts w:hint="eastAsia" w:ascii="宋体" w:hAnsi="宋体" w:cs="宋体"/>
                <w:color w:val="000000"/>
                <w:sz w:val="24"/>
                <w:szCs w:val="24"/>
                <w:highlight w:val="none"/>
              </w:rPr>
            </w:pPr>
          </w:p>
        </w:tc>
        <w:tc>
          <w:tcPr>
            <w:tcW w:w="975" w:type="dxa"/>
            <w:noWrap w:val="0"/>
            <w:vAlign w:val="top"/>
          </w:tcPr>
          <w:p w14:paraId="69CA57F1">
            <w:pPr>
              <w:spacing w:line="480" w:lineRule="exact"/>
              <w:rPr>
                <w:rFonts w:hint="eastAsia" w:ascii="宋体" w:hAnsi="宋体" w:cs="宋体"/>
                <w:color w:val="000000"/>
                <w:sz w:val="24"/>
                <w:szCs w:val="24"/>
                <w:highlight w:val="none"/>
              </w:rPr>
            </w:pPr>
          </w:p>
        </w:tc>
      </w:tr>
      <w:tr w14:paraId="20C20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67" w:type="dxa"/>
            <w:noWrap w:val="0"/>
            <w:vAlign w:val="center"/>
          </w:tcPr>
          <w:p w14:paraId="1E21FD46">
            <w:pPr>
              <w:spacing w:line="480" w:lineRule="exact"/>
              <w:jc w:val="center"/>
              <w:rPr>
                <w:rFonts w:hint="eastAsia"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3</w:t>
            </w:r>
          </w:p>
        </w:tc>
        <w:tc>
          <w:tcPr>
            <w:tcW w:w="1912" w:type="dxa"/>
            <w:noWrap w:val="0"/>
            <w:vAlign w:val="top"/>
          </w:tcPr>
          <w:p w14:paraId="124683C3">
            <w:pPr>
              <w:spacing w:line="480" w:lineRule="exact"/>
              <w:rPr>
                <w:rFonts w:hint="eastAsia" w:ascii="宋体" w:hAnsi="宋体" w:cs="宋体"/>
                <w:color w:val="000000"/>
                <w:sz w:val="24"/>
                <w:szCs w:val="24"/>
                <w:highlight w:val="none"/>
              </w:rPr>
            </w:pPr>
          </w:p>
        </w:tc>
        <w:tc>
          <w:tcPr>
            <w:tcW w:w="1839" w:type="dxa"/>
            <w:noWrap w:val="0"/>
            <w:vAlign w:val="top"/>
          </w:tcPr>
          <w:p w14:paraId="64268AE4">
            <w:pPr>
              <w:spacing w:line="480" w:lineRule="exact"/>
              <w:rPr>
                <w:rFonts w:hint="eastAsia" w:ascii="宋体" w:hAnsi="宋体" w:cs="宋体"/>
                <w:color w:val="000000"/>
                <w:sz w:val="24"/>
                <w:szCs w:val="24"/>
                <w:highlight w:val="none"/>
              </w:rPr>
            </w:pPr>
          </w:p>
        </w:tc>
        <w:tc>
          <w:tcPr>
            <w:tcW w:w="1593" w:type="dxa"/>
            <w:noWrap w:val="0"/>
            <w:vAlign w:val="top"/>
          </w:tcPr>
          <w:p w14:paraId="10A2C2B9">
            <w:pPr>
              <w:spacing w:line="480" w:lineRule="exact"/>
              <w:rPr>
                <w:rFonts w:hint="eastAsia" w:ascii="宋体" w:hAnsi="宋体" w:cs="宋体"/>
                <w:color w:val="000000"/>
                <w:sz w:val="24"/>
                <w:szCs w:val="24"/>
                <w:highlight w:val="none"/>
              </w:rPr>
            </w:pPr>
          </w:p>
        </w:tc>
        <w:tc>
          <w:tcPr>
            <w:tcW w:w="1500" w:type="dxa"/>
            <w:noWrap w:val="0"/>
            <w:vAlign w:val="top"/>
          </w:tcPr>
          <w:p w14:paraId="2C20B9B1">
            <w:pPr>
              <w:spacing w:line="480" w:lineRule="exact"/>
              <w:rPr>
                <w:rFonts w:hint="eastAsia" w:ascii="宋体" w:hAnsi="宋体" w:cs="宋体"/>
                <w:color w:val="000000"/>
                <w:sz w:val="24"/>
                <w:szCs w:val="24"/>
                <w:highlight w:val="none"/>
              </w:rPr>
            </w:pPr>
          </w:p>
        </w:tc>
        <w:tc>
          <w:tcPr>
            <w:tcW w:w="750" w:type="dxa"/>
            <w:noWrap w:val="0"/>
            <w:vAlign w:val="top"/>
          </w:tcPr>
          <w:p w14:paraId="7CA5F29D">
            <w:pPr>
              <w:spacing w:line="480" w:lineRule="exact"/>
              <w:rPr>
                <w:rFonts w:hint="eastAsia" w:ascii="宋体" w:hAnsi="宋体" w:cs="宋体"/>
                <w:color w:val="000000"/>
                <w:sz w:val="24"/>
                <w:szCs w:val="24"/>
                <w:highlight w:val="none"/>
              </w:rPr>
            </w:pPr>
          </w:p>
        </w:tc>
        <w:tc>
          <w:tcPr>
            <w:tcW w:w="975" w:type="dxa"/>
            <w:noWrap w:val="0"/>
            <w:vAlign w:val="top"/>
          </w:tcPr>
          <w:p w14:paraId="42855289">
            <w:pPr>
              <w:spacing w:line="480" w:lineRule="exact"/>
              <w:rPr>
                <w:rFonts w:hint="eastAsia" w:ascii="宋体" w:hAnsi="宋体" w:cs="宋体"/>
                <w:color w:val="000000"/>
                <w:sz w:val="24"/>
                <w:szCs w:val="24"/>
                <w:highlight w:val="none"/>
              </w:rPr>
            </w:pPr>
          </w:p>
        </w:tc>
      </w:tr>
      <w:tr w14:paraId="74DB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967" w:type="dxa"/>
            <w:noWrap w:val="0"/>
            <w:vAlign w:val="center"/>
          </w:tcPr>
          <w:p w14:paraId="4FF5CB2F">
            <w:pPr>
              <w:spacing w:line="480" w:lineRule="exact"/>
              <w:jc w:val="center"/>
              <w:rPr>
                <w:rFonts w:hint="eastAsia"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4</w:t>
            </w:r>
          </w:p>
        </w:tc>
        <w:tc>
          <w:tcPr>
            <w:tcW w:w="1912" w:type="dxa"/>
            <w:noWrap w:val="0"/>
            <w:vAlign w:val="top"/>
          </w:tcPr>
          <w:p w14:paraId="50A8CB4E">
            <w:pPr>
              <w:spacing w:line="480" w:lineRule="exact"/>
              <w:rPr>
                <w:rFonts w:hint="eastAsia" w:ascii="宋体" w:hAnsi="宋体" w:cs="宋体"/>
                <w:color w:val="000000"/>
                <w:sz w:val="24"/>
                <w:szCs w:val="24"/>
                <w:highlight w:val="none"/>
              </w:rPr>
            </w:pPr>
          </w:p>
        </w:tc>
        <w:tc>
          <w:tcPr>
            <w:tcW w:w="1839" w:type="dxa"/>
            <w:noWrap w:val="0"/>
            <w:vAlign w:val="top"/>
          </w:tcPr>
          <w:p w14:paraId="3E24968C">
            <w:pPr>
              <w:spacing w:line="480" w:lineRule="exact"/>
              <w:rPr>
                <w:rFonts w:hint="eastAsia" w:ascii="宋体" w:hAnsi="宋体" w:cs="宋体"/>
                <w:color w:val="000000"/>
                <w:sz w:val="24"/>
                <w:szCs w:val="24"/>
                <w:highlight w:val="none"/>
              </w:rPr>
            </w:pPr>
          </w:p>
        </w:tc>
        <w:tc>
          <w:tcPr>
            <w:tcW w:w="1593" w:type="dxa"/>
            <w:noWrap w:val="0"/>
            <w:vAlign w:val="top"/>
          </w:tcPr>
          <w:p w14:paraId="1DAC28C9">
            <w:pPr>
              <w:spacing w:line="480" w:lineRule="exact"/>
              <w:rPr>
                <w:rFonts w:hint="eastAsia" w:ascii="宋体" w:hAnsi="宋体" w:cs="宋体"/>
                <w:color w:val="000000"/>
                <w:sz w:val="24"/>
                <w:szCs w:val="24"/>
                <w:highlight w:val="none"/>
              </w:rPr>
            </w:pPr>
          </w:p>
        </w:tc>
        <w:tc>
          <w:tcPr>
            <w:tcW w:w="1500" w:type="dxa"/>
            <w:noWrap w:val="0"/>
            <w:vAlign w:val="top"/>
          </w:tcPr>
          <w:p w14:paraId="796C03E8">
            <w:pPr>
              <w:spacing w:line="480" w:lineRule="exact"/>
              <w:rPr>
                <w:rFonts w:hint="eastAsia" w:ascii="宋体" w:hAnsi="宋体" w:cs="宋体"/>
                <w:color w:val="000000"/>
                <w:sz w:val="24"/>
                <w:szCs w:val="24"/>
                <w:highlight w:val="none"/>
              </w:rPr>
            </w:pPr>
          </w:p>
        </w:tc>
        <w:tc>
          <w:tcPr>
            <w:tcW w:w="750" w:type="dxa"/>
            <w:noWrap w:val="0"/>
            <w:vAlign w:val="top"/>
          </w:tcPr>
          <w:p w14:paraId="7DA5F370">
            <w:pPr>
              <w:spacing w:line="480" w:lineRule="exact"/>
              <w:rPr>
                <w:rFonts w:hint="eastAsia" w:ascii="宋体" w:hAnsi="宋体" w:cs="宋体"/>
                <w:color w:val="000000"/>
                <w:sz w:val="24"/>
                <w:szCs w:val="24"/>
                <w:highlight w:val="none"/>
              </w:rPr>
            </w:pPr>
          </w:p>
        </w:tc>
        <w:tc>
          <w:tcPr>
            <w:tcW w:w="975" w:type="dxa"/>
            <w:noWrap w:val="0"/>
            <w:vAlign w:val="top"/>
          </w:tcPr>
          <w:p w14:paraId="5BEAE72A">
            <w:pPr>
              <w:spacing w:line="480" w:lineRule="exact"/>
              <w:rPr>
                <w:rFonts w:hint="eastAsia" w:ascii="宋体" w:hAnsi="宋体" w:cs="宋体"/>
                <w:color w:val="000000"/>
                <w:sz w:val="24"/>
                <w:szCs w:val="24"/>
                <w:highlight w:val="none"/>
              </w:rPr>
            </w:pPr>
          </w:p>
        </w:tc>
      </w:tr>
      <w:tr w14:paraId="23C54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67" w:type="dxa"/>
            <w:noWrap w:val="0"/>
            <w:vAlign w:val="center"/>
          </w:tcPr>
          <w:p w14:paraId="02E37547">
            <w:pPr>
              <w:spacing w:line="480" w:lineRule="exact"/>
              <w:jc w:val="center"/>
              <w:rPr>
                <w:rFonts w:hint="default"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w:t>
            </w:r>
          </w:p>
        </w:tc>
        <w:tc>
          <w:tcPr>
            <w:tcW w:w="1912" w:type="dxa"/>
            <w:noWrap w:val="0"/>
            <w:vAlign w:val="top"/>
          </w:tcPr>
          <w:p w14:paraId="5A0CF317">
            <w:pPr>
              <w:spacing w:line="480" w:lineRule="exact"/>
              <w:rPr>
                <w:rFonts w:hint="eastAsia" w:ascii="宋体" w:hAnsi="宋体" w:cs="宋体"/>
                <w:color w:val="000000"/>
                <w:sz w:val="24"/>
                <w:szCs w:val="24"/>
                <w:highlight w:val="none"/>
              </w:rPr>
            </w:pPr>
          </w:p>
        </w:tc>
        <w:tc>
          <w:tcPr>
            <w:tcW w:w="1839" w:type="dxa"/>
            <w:noWrap w:val="0"/>
            <w:vAlign w:val="top"/>
          </w:tcPr>
          <w:p w14:paraId="6B796014">
            <w:pPr>
              <w:spacing w:line="480" w:lineRule="exact"/>
              <w:rPr>
                <w:rFonts w:hint="eastAsia" w:ascii="宋体" w:hAnsi="宋体" w:cs="宋体"/>
                <w:color w:val="000000"/>
                <w:sz w:val="24"/>
                <w:szCs w:val="24"/>
                <w:highlight w:val="none"/>
              </w:rPr>
            </w:pPr>
          </w:p>
        </w:tc>
        <w:tc>
          <w:tcPr>
            <w:tcW w:w="1593" w:type="dxa"/>
            <w:noWrap w:val="0"/>
            <w:vAlign w:val="top"/>
          </w:tcPr>
          <w:p w14:paraId="3A4F90DB">
            <w:pPr>
              <w:spacing w:line="480" w:lineRule="exact"/>
              <w:rPr>
                <w:rFonts w:hint="eastAsia" w:ascii="宋体" w:hAnsi="宋体" w:cs="宋体"/>
                <w:color w:val="000000"/>
                <w:sz w:val="24"/>
                <w:szCs w:val="24"/>
                <w:highlight w:val="none"/>
              </w:rPr>
            </w:pPr>
          </w:p>
        </w:tc>
        <w:tc>
          <w:tcPr>
            <w:tcW w:w="1500" w:type="dxa"/>
            <w:noWrap w:val="0"/>
            <w:vAlign w:val="top"/>
          </w:tcPr>
          <w:p w14:paraId="1C9AC315">
            <w:pPr>
              <w:spacing w:line="480" w:lineRule="exact"/>
              <w:rPr>
                <w:rFonts w:hint="eastAsia" w:ascii="宋体" w:hAnsi="宋体" w:cs="宋体"/>
                <w:color w:val="000000"/>
                <w:sz w:val="24"/>
                <w:szCs w:val="24"/>
                <w:highlight w:val="none"/>
              </w:rPr>
            </w:pPr>
          </w:p>
        </w:tc>
        <w:tc>
          <w:tcPr>
            <w:tcW w:w="750" w:type="dxa"/>
            <w:noWrap w:val="0"/>
            <w:vAlign w:val="top"/>
          </w:tcPr>
          <w:p w14:paraId="6E7B8E74">
            <w:pPr>
              <w:spacing w:line="480" w:lineRule="exact"/>
              <w:rPr>
                <w:rFonts w:hint="eastAsia" w:ascii="宋体" w:hAnsi="宋体" w:cs="宋体"/>
                <w:color w:val="000000"/>
                <w:sz w:val="24"/>
                <w:szCs w:val="24"/>
                <w:highlight w:val="none"/>
              </w:rPr>
            </w:pPr>
          </w:p>
        </w:tc>
        <w:tc>
          <w:tcPr>
            <w:tcW w:w="975" w:type="dxa"/>
            <w:noWrap w:val="0"/>
            <w:vAlign w:val="top"/>
          </w:tcPr>
          <w:p w14:paraId="60C4648C">
            <w:pPr>
              <w:spacing w:line="480" w:lineRule="exact"/>
              <w:rPr>
                <w:rFonts w:hint="eastAsia" w:ascii="宋体" w:hAnsi="宋体" w:cs="宋体"/>
                <w:color w:val="000000"/>
                <w:sz w:val="24"/>
                <w:szCs w:val="24"/>
                <w:highlight w:val="none"/>
              </w:rPr>
            </w:pPr>
          </w:p>
        </w:tc>
      </w:tr>
    </w:tbl>
    <w:p w14:paraId="1900DE2A">
      <w:pPr>
        <w:pStyle w:val="17"/>
        <w:keepNext w:val="0"/>
        <w:keepLines w:val="0"/>
        <w:pageBreakBefore w:val="0"/>
        <w:widowControl/>
        <w:kinsoku/>
        <w:wordWrap/>
        <w:overflowPunct/>
        <w:topLinePunct w:val="0"/>
        <w:autoSpaceDE/>
        <w:autoSpaceDN/>
        <w:bidi w:val="0"/>
        <w:spacing w:line="360" w:lineRule="auto"/>
        <w:rPr>
          <w:rFonts w:hint="eastAsia" w:ascii="宋体" w:hAnsi="宋体"/>
          <w:b/>
          <w:bCs/>
          <w:color w:val="000000"/>
          <w:sz w:val="24"/>
          <w:szCs w:val="24"/>
          <w:highlight w:val="none"/>
        </w:rPr>
      </w:pPr>
      <w:r>
        <w:rPr>
          <w:rFonts w:hint="eastAsia" w:ascii="宋体" w:hAnsi="宋体"/>
          <w:b/>
          <w:bCs/>
          <w:color w:val="000000"/>
          <w:sz w:val="24"/>
          <w:szCs w:val="24"/>
          <w:highlight w:val="none"/>
        </w:rPr>
        <w:t>注：各投标人必须对</w:t>
      </w:r>
      <w:r>
        <w:rPr>
          <w:rFonts w:hint="eastAsia" w:ascii="宋体" w:hAnsi="宋体"/>
          <w:b/>
          <w:bCs/>
          <w:color w:val="000000"/>
          <w:sz w:val="24"/>
          <w:szCs w:val="24"/>
          <w:highlight w:val="none"/>
          <w:lang w:eastAsia="zh-CN"/>
        </w:rPr>
        <w:t>招标文件</w:t>
      </w:r>
      <w:r>
        <w:rPr>
          <w:rFonts w:hint="eastAsia" w:ascii="宋体" w:hAnsi="宋体"/>
          <w:b/>
          <w:bCs/>
          <w:color w:val="000000"/>
          <w:sz w:val="24"/>
          <w:szCs w:val="24"/>
          <w:highlight w:val="none"/>
        </w:rPr>
        <w:t xml:space="preserve">“第五章 </w:t>
      </w:r>
      <w:r>
        <w:rPr>
          <w:rFonts w:hint="eastAsia" w:ascii="宋体" w:hAnsi="宋体"/>
          <w:b/>
          <w:bCs/>
          <w:color w:val="000000"/>
          <w:sz w:val="24"/>
          <w:szCs w:val="24"/>
          <w:highlight w:val="none"/>
          <w:lang w:eastAsia="zh-CN"/>
        </w:rPr>
        <w:t>采购内容及要求</w:t>
      </w:r>
      <w:r>
        <w:rPr>
          <w:rFonts w:hint="eastAsia" w:ascii="宋体" w:hAnsi="宋体"/>
          <w:b/>
          <w:bCs/>
          <w:color w:val="000000"/>
          <w:sz w:val="24"/>
          <w:szCs w:val="24"/>
          <w:highlight w:val="none"/>
        </w:rPr>
        <w:t>”中的技术规格及要求（技术参数）要求作出全面、真实的反映，投标人除如实填写技术规格偏离表外，投标文件中必须提供制造厂商出具的满足产品需求的技术证明材料(包括但不限于产品彩页或白皮书)、说明书以及配置清单等资料以证明其产品的技术指标参数和具体配置情况的真实性，采购人也可根据设备制造厂商官方网站资料以证明投标人产品的技术指标参数和具体配置情况的真实性。若投标文件中最新技术支持资料参数与技术规格偏离表应答不符或无技术资料应答，而投标人又未在投标文件中作出说明和解释的，视为不响应该条技术参数要求</w:t>
      </w:r>
      <w:r>
        <w:rPr>
          <w:rFonts w:hint="eastAsia" w:ascii="宋体" w:hAnsi="宋体"/>
          <w:color w:val="000000"/>
          <w:sz w:val="24"/>
          <w:szCs w:val="24"/>
          <w:highlight w:val="none"/>
        </w:rPr>
        <w:t>。</w:t>
      </w:r>
      <w:r>
        <w:rPr>
          <w:rFonts w:hint="eastAsia" w:ascii="宋体" w:hAnsi="宋体"/>
          <w:b/>
          <w:bCs/>
          <w:color w:val="000000"/>
          <w:sz w:val="24"/>
          <w:szCs w:val="24"/>
          <w:highlight w:val="none"/>
          <w:lang w:eastAsia="zh-CN"/>
        </w:rPr>
        <w:t>不实事求是填写技术规格偏离表或提供虚假支撑材料的，视为虚假应标，评标委员会将否决其投标</w:t>
      </w:r>
      <w:r>
        <w:rPr>
          <w:rFonts w:hint="eastAsia" w:ascii="宋体" w:hAnsi="宋体"/>
          <w:b/>
          <w:bCs/>
          <w:color w:val="000000"/>
          <w:sz w:val="24"/>
          <w:szCs w:val="24"/>
          <w:highlight w:val="none"/>
        </w:rPr>
        <w:t>。</w:t>
      </w:r>
    </w:p>
    <w:p w14:paraId="5BDFA161">
      <w:pPr>
        <w:autoSpaceDE w:val="0"/>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 xml:space="preserve"> </w:t>
      </w:r>
    </w:p>
    <w:p w14:paraId="63B37F18">
      <w:pPr>
        <w:pStyle w:val="7"/>
        <w:rPr>
          <w:rFonts w:ascii="宋体" w:hAnsi="宋体" w:cs="宋体"/>
          <w:i w:val="0"/>
          <w:iCs w:val="0"/>
          <w:color w:val="auto"/>
          <w:highlight w:val="none"/>
        </w:rPr>
      </w:pPr>
    </w:p>
    <w:p w14:paraId="1D0A0C95">
      <w:pPr>
        <w:spacing w:line="480" w:lineRule="auto"/>
        <w:ind w:right="480" w:firstLine="360" w:firstLineChars="15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（加盖单位公章）</w:t>
      </w:r>
    </w:p>
    <w:p w14:paraId="2FA4D44C">
      <w:pPr>
        <w:spacing w:line="480" w:lineRule="auto"/>
        <w:ind w:right="48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 xml:space="preserve">   法定代表人(单位负责人)或其委托代理人：</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（签字或盖章）</w:t>
      </w:r>
    </w:p>
    <w:p w14:paraId="796C2E61">
      <w:pPr>
        <w:spacing w:line="480" w:lineRule="auto"/>
        <w:ind w:right="480"/>
        <w:rPr>
          <w:rFonts w:ascii="宋体" w:hAnsi="宋体" w:cs="宋体"/>
          <w:i w:val="0"/>
          <w:iCs w:val="0"/>
          <w:color w:val="auto"/>
          <w:sz w:val="24"/>
          <w:szCs w:val="24"/>
          <w:highlight w:val="none"/>
          <w:u w:val="single"/>
        </w:rPr>
      </w:pPr>
      <w:r>
        <w:rPr>
          <w:rFonts w:hint="eastAsia" w:ascii="宋体" w:hAnsi="宋体" w:cs="宋体"/>
          <w:i w:val="0"/>
          <w:iCs w:val="0"/>
          <w:color w:val="auto"/>
          <w:sz w:val="24"/>
          <w:szCs w:val="24"/>
          <w:highlight w:val="none"/>
        </w:rPr>
        <w:t xml:space="preserve">   日期：</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年</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月</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日</w:t>
      </w:r>
    </w:p>
    <w:p w14:paraId="03B1DDC9">
      <w:pPr>
        <w:pStyle w:val="7"/>
        <w:rPr>
          <w:rFonts w:ascii="宋体" w:hAnsi="宋体" w:cs="宋体"/>
          <w:i w:val="0"/>
          <w:iCs w:val="0"/>
          <w:color w:val="auto"/>
          <w:highlight w:val="none"/>
        </w:rPr>
      </w:pPr>
    </w:p>
    <w:p w14:paraId="2AA23B11">
      <w:pPr>
        <w:bidi w:val="0"/>
        <w:rPr>
          <w:rFonts w:ascii="宋体" w:hAnsi="宋体" w:cs="宋体"/>
          <w:i w:val="0"/>
          <w:iCs w:val="0"/>
          <w:color w:val="auto"/>
          <w:highlight w:val="none"/>
        </w:rPr>
      </w:pPr>
      <w:bookmarkStart w:id="293" w:name="_Toc14236"/>
      <w:bookmarkEnd w:id="293"/>
      <w:bookmarkStart w:id="294" w:name="_Toc29437"/>
      <w:r>
        <w:rPr>
          <w:rFonts w:hint="eastAsia" w:ascii="宋体" w:hAnsi="宋体" w:cs="宋体"/>
          <w:i w:val="0"/>
          <w:iCs w:val="0"/>
          <w:color w:val="auto"/>
          <w:highlight w:val="none"/>
        </w:rPr>
        <w:br w:type="page"/>
      </w:r>
      <w:bookmarkStart w:id="295" w:name="_Toc11139"/>
      <w:bookmarkStart w:id="296" w:name="_Toc27573"/>
      <w:r>
        <w:rPr>
          <w:rFonts w:hint="eastAsia" w:ascii="黑体" w:hAnsi="黑体" w:eastAsia="黑体" w:cs="黑体"/>
          <w:b/>
          <w:bCs/>
          <w:sz w:val="28"/>
          <w:szCs w:val="28"/>
        </w:rPr>
        <w:t>格式</w:t>
      </w:r>
      <w:r>
        <w:rPr>
          <w:rFonts w:hint="eastAsia" w:ascii="黑体" w:hAnsi="黑体" w:eastAsia="黑体" w:cs="黑体"/>
          <w:b/>
          <w:bCs/>
          <w:sz w:val="28"/>
          <w:szCs w:val="28"/>
          <w:lang w:val="en-US" w:eastAsia="zh-CN"/>
        </w:rPr>
        <w:t>7</w:t>
      </w:r>
      <w:r>
        <w:rPr>
          <w:rFonts w:hint="eastAsia" w:ascii="黑体" w:hAnsi="黑体" w:eastAsia="黑体" w:cs="黑体"/>
          <w:b/>
          <w:bCs/>
          <w:sz w:val="28"/>
          <w:szCs w:val="28"/>
        </w:rPr>
        <w:t>：</w:t>
      </w:r>
      <w:bookmarkEnd w:id="295"/>
      <w:bookmarkEnd w:id="296"/>
    </w:p>
    <w:bookmarkEnd w:id="294"/>
    <w:p w14:paraId="2D7E353E">
      <w:pPr>
        <w:jc w:val="center"/>
        <w:rPr>
          <w:rFonts w:hint="eastAsia"/>
          <w:b/>
          <w:bCs/>
          <w:sz w:val="28"/>
          <w:szCs w:val="28"/>
        </w:rPr>
      </w:pPr>
      <w:r>
        <w:rPr>
          <w:rFonts w:hint="eastAsia"/>
          <w:b/>
          <w:bCs/>
          <w:sz w:val="28"/>
          <w:szCs w:val="28"/>
          <w:lang w:val="en-US" w:eastAsia="zh-CN"/>
        </w:rPr>
        <w:t>分项报价表</w:t>
      </w:r>
      <w:r>
        <w:rPr>
          <w:rFonts w:hint="eastAsia"/>
          <w:b/>
          <w:bCs/>
          <w:sz w:val="28"/>
          <w:szCs w:val="28"/>
        </w:rPr>
        <w:t xml:space="preserve"> </w:t>
      </w:r>
    </w:p>
    <w:p w14:paraId="2DE332CD">
      <w:pPr>
        <w:spacing w:line="240" w:lineRule="exact"/>
        <w:rPr>
          <w:rFonts w:ascii="宋体" w:hAnsi="宋体" w:cs="宋体"/>
          <w:i w:val="0"/>
          <w:iCs w:val="0"/>
          <w:color w:val="auto"/>
          <w:highlight w:val="none"/>
        </w:rPr>
      </w:pPr>
    </w:p>
    <w:tbl>
      <w:tblPr>
        <w:tblStyle w:val="4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5"/>
        <w:gridCol w:w="2009"/>
        <w:gridCol w:w="1283"/>
        <w:gridCol w:w="641"/>
        <w:gridCol w:w="632"/>
        <w:gridCol w:w="1530"/>
        <w:gridCol w:w="1018"/>
        <w:gridCol w:w="1302"/>
        <w:gridCol w:w="664"/>
      </w:tblGrid>
      <w:tr w14:paraId="3DFAD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28" w:type="pct"/>
            <w:noWrap w:val="0"/>
            <w:vAlign w:val="center"/>
          </w:tcPr>
          <w:p w14:paraId="0E1C8247">
            <w:pPr>
              <w:pStyle w:val="23"/>
              <w:snapToGrid w:val="0"/>
              <w:spacing w:line="240" w:lineRule="atLeast"/>
              <w:jc w:val="both"/>
              <w:rPr>
                <w:rFonts w:hint="eastAsia" w:hAnsi="宋体" w:cs="宋体"/>
                <w:b/>
                <w:bCs/>
                <w:color w:val="000000"/>
                <w:sz w:val="24"/>
                <w:szCs w:val="24"/>
                <w:highlight w:val="none"/>
              </w:rPr>
            </w:pPr>
            <w:r>
              <w:rPr>
                <w:rFonts w:hint="eastAsia" w:hAnsi="宋体" w:cs="宋体"/>
                <w:b/>
                <w:bCs/>
                <w:color w:val="000000"/>
                <w:sz w:val="24"/>
                <w:szCs w:val="24"/>
                <w:highlight w:val="none"/>
              </w:rPr>
              <w:t>序号</w:t>
            </w:r>
          </w:p>
        </w:tc>
        <w:tc>
          <w:tcPr>
            <w:tcW w:w="1055" w:type="pct"/>
            <w:noWrap w:val="0"/>
            <w:vAlign w:val="center"/>
          </w:tcPr>
          <w:p w14:paraId="58E06B8A">
            <w:pPr>
              <w:pStyle w:val="23"/>
              <w:snapToGrid w:val="0"/>
              <w:spacing w:line="240" w:lineRule="atLeast"/>
              <w:jc w:val="center"/>
              <w:rPr>
                <w:rFonts w:hint="eastAsia" w:hAnsi="宋体" w:cs="宋体"/>
                <w:b/>
                <w:bCs/>
                <w:color w:val="000000"/>
                <w:sz w:val="24"/>
                <w:szCs w:val="24"/>
                <w:highlight w:val="none"/>
              </w:rPr>
            </w:pPr>
            <w:r>
              <w:rPr>
                <w:rFonts w:hint="eastAsia" w:hAnsi="宋体" w:cs="宋体"/>
                <w:b/>
                <w:bCs/>
                <w:color w:val="000000"/>
                <w:sz w:val="24"/>
                <w:szCs w:val="24"/>
                <w:highlight w:val="none"/>
              </w:rPr>
              <w:t>分项名称</w:t>
            </w:r>
          </w:p>
        </w:tc>
        <w:tc>
          <w:tcPr>
            <w:tcW w:w="674" w:type="pct"/>
            <w:noWrap w:val="0"/>
            <w:vAlign w:val="center"/>
          </w:tcPr>
          <w:p w14:paraId="2309541B">
            <w:pPr>
              <w:pStyle w:val="23"/>
              <w:snapToGrid w:val="0"/>
              <w:spacing w:line="240" w:lineRule="atLeast"/>
              <w:jc w:val="center"/>
              <w:rPr>
                <w:rFonts w:hint="eastAsia" w:hAnsi="宋体" w:eastAsia="宋体" w:cs="宋体"/>
                <w:b/>
                <w:bCs/>
                <w:color w:val="000000"/>
                <w:sz w:val="24"/>
                <w:szCs w:val="24"/>
                <w:highlight w:val="none"/>
                <w:lang w:eastAsia="zh-CN"/>
              </w:rPr>
            </w:pPr>
            <w:r>
              <w:rPr>
                <w:rFonts w:hint="eastAsia" w:hAnsi="宋体" w:cs="宋体"/>
                <w:b/>
                <w:bCs/>
                <w:color w:val="000000"/>
                <w:sz w:val="24"/>
                <w:szCs w:val="24"/>
                <w:highlight w:val="none"/>
                <w:lang w:val="en-US" w:eastAsia="zh-CN"/>
              </w:rPr>
              <w:t>品牌/</w:t>
            </w:r>
            <w:r>
              <w:rPr>
                <w:rFonts w:hint="eastAsia" w:hAnsi="宋体" w:cs="宋体"/>
                <w:b/>
                <w:bCs/>
                <w:color w:val="000000"/>
                <w:sz w:val="24"/>
                <w:szCs w:val="24"/>
                <w:highlight w:val="none"/>
              </w:rPr>
              <w:t>型号和规格</w:t>
            </w:r>
          </w:p>
        </w:tc>
        <w:tc>
          <w:tcPr>
            <w:tcW w:w="336" w:type="pct"/>
            <w:noWrap w:val="0"/>
            <w:vAlign w:val="center"/>
          </w:tcPr>
          <w:p w14:paraId="25256E5C">
            <w:pPr>
              <w:pStyle w:val="23"/>
              <w:snapToGrid w:val="0"/>
              <w:spacing w:line="240" w:lineRule="atLeast"/>
              <w:jc w:val="center"/>
              <w:rPr>
                <w:rFonts w:hint="eastAsia" w:hAnsi="宋体" w:cs="宋体"/>
                <w:b/>
                <w:bCs/>
                <w:color w:val="000000"/>
                <w:sz w:val="24"/>
                <w:szCs w:val="24"/>
                <w:highlight w:val="none"/>
              </w:rPr>
            </w:pPr>
            <w:r>
              <w:rPr>
                <w:rFonts w:hint="eastAsia" w:hAnsi="宋体" w:cs="宋体"/>
                <w:b/>
                <w:bCs/>
                <w:color w:val="000000"/>
                <w:sz w:val="24"/>
                <w:szCs w:val="24"/>
                <w:highlight w:val="none"/>
              </w:rPr>
              <w:t>数量</w:t>
            </w:r>
          </w:p>
        </w:tc>
        <w:tc>
          <w:tcPr>
            <w:tcW w:w="332" w:type="pct"/>
            <w:noWrap w:val="0"/>
            <w:vAlign w:val="center"/>
          </w:tcPr>
          <w:p w14:paraId="2CF2869F">
            <w:pPr>
              <w:pStyle w:val="23"/>
              <w:snapToGrid w:val="0"/>
              <w:spacing w:line="240" w:lineRule="atLeast"/>
              <w:jc w:val="center"/>
              <w:rPr>
                <w:rFonts w:hint="eastAsia" w:hAnsi="宋体" w:cs="宋体" w:eastAsiaTheme="minorEastAsia"/>
                <w:b/>
                <w:bCs/>
                <w:color w:val="000000"/>
                <w:sz w:val="24"/>
                <w:szCs w:val="24"/>
                <w:highlight w:val="none"/>
                <w:lang w:eastAsia="zh-CN"/>
              </w:rPr>
            </w:pPr>
            <w:r>
              <w:rPr>
                <w:rFonts w:hint="eastAsia" w:hAnsi="宋体" w:cs="宋体"/>
                <w:b/>
                <w:bCs/>
                <w:color w:val="000000"/>
                <w:sz w:val="24"/>
                <w:szCs w:val="24"/>
                <w:highlight w:val="none"/>
                <w:lang w:eastAsia="zh-CN"/>
              </w:rPr>
              <w:t>单位</w:t>
            </w:r>
          </w:p>
        </w:tc>
        <w:tc>
          <w:tcPr>
            <w:tcW w:w="804" w:type="pct"/>
            <w:noWrap w:val="0"/>
            <w:vAlign w:val="center"/>
          </w:tcPr>
          <w:p w14:paraId="08648EBF">
            <w:pPr>
              <w:pStyle w:val="23"/>
              <w:snapToGrid w:val="0"/>
              <w:spacing w:line="240" w:lineRule="atLeast"/>
              <w:jc w:val="center"/>
              <w:rPr>
                <w:rFonts w:hint="eastAsia" w:hAnsi="宋体" w:cs="宋体"/>
                <w:b/>
                <w:bCs/>
                <w:color w:val="000000"/>
                <w:sz w:val="24"/>
                <w:szCs w:val="24"/>
                <w:highlight w:val="none"/>
              </w:rPr>
            </w:pPr>
            <w:r>
              <w:rPr>
                <w:rFonts w:hint="eastAsia" w:hAnsi="宋体" w:cs="宋体"/>
                <w:b/>
                <w:bCs/>
                <w:color w:val="000000"/>
                <w:sz w:val="24"/>
                <w:szCs w:val="24"/>
                <w:highlight w:val="none"/>
              </w:rPr>
              <w:t>制造商名称</w:t>
            </w:r>
          </w:p>
        </w:tc>
        <w:tc>
          <w:tcPr>
            <w:tcW w:w="535" w:type="pct"/>
            <w:noWrap w:val="0"/>
            <w:vAlign w:val="center"/>
          </w:tcPr>
          <w:p w14:paraId="30FCE4E8">
            <w:pPr>
              <w:pStyle w:val="23"/>
              <w:snapToGrid w:val="0"/>
              <w:spacing w:line="240" w:lineRule="atLeast"/>
              <w:jc w:val="center"/>
              <w:rPr>
                <w:rFonts w:hint="eastAsia" w:hAnsi="宋体" w:eastAsia="宋体" w:cs="宋体"/>
                <w:b/>
                <w:bCs/>
                <w:color w:val="000000"/>
                <w:sz w:val="24"/>
                <w:szCs w:val="24"/>
                <w:highlight w:val="none"/>
                <w:lang w:eastAsia="zh-CN"/>
              </w:rPr>
            </w:pPr>
            <w:r>
              <w:rPr>
                <w:rFonts w:hint="eastAsia" w:hAnsi="宋体" w:cs="宋体"/>
                <w:b/>
                <w:bCs/>
                <w:color w:val="000000"/>
                <w:sz w:val="24"/>
                <w:szCs w:val="24"/>
                <w:highlight w:val="none"/>
              </w:rPr>
              <w:t>单价</w:t>
            </w:r>
            <w:r>
              <w:rPr>
                <w:rFonts w:hint="eastAsia" w:hAnsi="宋体" w:cs="宋体"/>
                <w:b/>
                <w:bCs/>
                <w:color w:val="000000"/>
                <w:sz w:val="24"/>
                <w:szCs w:val="24"/>
                <w:highlight w:val="none"/>
                <w:lang w:eastAsia="zh-CN"/>
              </w:rPr>
              <w:t>（元）</w:t>
            </w:r>
          </w:p>
        </w:tc>
        <w:tc>
          <w:tcPr>
            <w:tcW w:w="684" w:type="pct"/>
            <w:noWrap w:val="0"/>
            <w:vAlign w:val="center"/>
          </w:tcPr>
          <w:p w14:paraId="088153B2">
            <w:pPr>
              <w:pStyle w:val="23"/>
              <w:snapToGrid w:val="0"/>
              <w:spacing w:line="240" w:lineRule="atLeast"/>
              <w:jc w:val="center"/>
              <w:rPr>
                <w:rFonts w:hint="eastAsia" w:hAnsi="宋体" w:eastAsia="宋体" w:cs="宋体"/>
                <w:b/>
                <w:bCs/>
                <w:color w:val="000000"/>
                <w:sz w:val="24"/>
                <w:szCs w:val="24"/>
                <w:highlight w:val="none"/>
                <w:lang w:eastAsia="zh-CN"/>
              </w:rPr>
            </w:pPr>
            <w:r>
              <w:rPr>
                <w:rFonts w:hint="eastAsia" w:hAnsi="宋体" w:cs="宋体"/>
                <w:b/>
                <w:bCs/>
                <w:color w:val="000000"/>
                <w:sz w:val="24"/>
                <w:szCs w:val="24"/>
                <w:highlight w:val="none"/>
              </w:rPr>
              <w:t>合价</w:t>
            </w:r>
            <w:r>
              <w:rPr>
                <w:rFonts w:hint="eastAsia" w:hAnsi="宋体" w:cs="宋体"/>
                <w:b/>
                <w:bCs/>
                <w:color w:val="000000"/>
                <w:sz w:val="24"/>
                <w:szCs w:val="24"/>
                <w:highlight w:val="none"/>
                <w:lang w:eastAsia="zh-CN"/>
              </w:rPr>
              <w:t>（元）</w:t>
            </w:r>
          </w:p>
        </w:tc>
        <w:tc>
          <w:tcPr>
            <w:tcW w:w="348" w:type="pct"/>
            <w:noWrap w:val="0"/>
            <w:vAlign w:val="center"/>
          </w:tcPr>
          <w:p w14:paraId="04C4B71D">
            <w:pPr>
              <w:pStyle w:val="23"/>
              <w:snapToGrid w:val="0"/>
              <w:spacing w:line="240" w:lineRule="atLeast"/>
              <w:jc w:val="center"/>
              <w:rPr>
                <w:rFonts w:hint="eastAsia" w:hAnsi="宋体" w:cs="宋体"/>
                <w:b/>
                <w:bCs/>
                <w:color w:val="000000"/>
                <w:sz w:val="24"/>
                <w:szCs w:val="24"/>
                <w:highlight w:val="none"/>
              </w:rPr>
            </w:pPr>
            <w:r>
              <w:rPr>
                <w:rFonts w:hint="eastAsia" w:hAnsi="宋体" w:cs="宋体"/>
                <w:b/>
                <w:bCs/>
                <w:color w:val="000000"/>
                <w:sz w:val="24"/>
                <w:szCs w:val="24"/>
                <w:highlight w:val="none"/>
              </w:rPr>
              <w:t>备注</w:t>
            </w:r>
          </w:p>
        </w:tc>
      </w:tr>
      <w:tr w14:paraId="20330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228" w:type="pct"/>
            <w:noWrap w:val="0"/>
            <w:vAlign w:val="center"/>
          </w:tcPr>
          <w:p w14:paraId="4DC2DBC8">
            <w:pPr>
              <w:pStyle w:val="23"/>
              <w:snapToGrid w:val="0"/>
              <w:spacing w:line="240" w:lineRule="atLeast"/>
              <w:jc w:val="both"/>
              <w:rPr>
                <w:rFonts w:hint="eastAsia" w:hAnsi="宋体" w:cs="宋体"/>
                <w:color w:val="000000"/>
                <w:sz w:val="24"/>
                <w:szCs w:val="24"/>
                <w:highlight w:val="none"/>
                <w:lang w:val="en-US" w:eastAsia="zh-CN"/>
              </w:rPr>
            </w:pPr>
            <w:r>
              <w:rPr>
                <w:rFonts w:hint="eastAsia" w:hAnsi="宋体" w:cs="宋体"/>
                <w:color w:val="000000"/>
                <w:sz w:val="24"/>
                <w:szCs w:val="24"/>
                <w:highlight w:val="none"/>
                <w:lang w:val="en-US" w:eastAsia="zh-CN"/>
              </w:rPr>
              <w:t>1</w:t>
            </w:r>
          </w:p>
        </w:tc>
        <w:tc>
          <w:tcPr>
            <w:tcW w:w="1055" w:type="pct"/>
            <w:shd w:val="clear" w:color="auto" w:fill="auto"/>
            <w:noWrap w:val="0"/>
            <w:vAlign w:val="center"/>
          </w:tcPr>
          <w:p w14:paraId="223D0A26">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全自动软式内镜清洗消毒器</w:t>
            </w:r>
          </w:p>
        </w:tc>
        <w:tc>
          <w:tcPr>
            <w:tcW w:w="674" w:type="pct"/>
            <w:noWrap w:val="0"/>
            <w:vAlign w:val="center"/>
          </w:tcPr>
          <w:p w14:paraId="09ACC8B8">
            <w:pPr>
              <w:pStyle w:val="23"/>
              <w:snapToGrid w:val="0"/>
              <w:spacing w:line="240" w:lineRule="atLeast"/>
              <w:ind w:firstLine="240" w:firstLineChars="100"/>
              <w:jc w:val="both"/>
              <w:rPr>
                <w:rFonts w:hint="default" w:hAnsi="宋体" w:cs="宋体" w:eastAsiaTheme="minorEastAsia"/>
                <w:color w:val="000000"/>
                <w:sz w:val="24"/>
                <w:szCs w:val="24"/>
                <w:highlight w:val="none"/>
                <w:lang w:val="en-US" w:eastAsia="zh-CN"/>
              </w:rPr>
            </w:pPr>
          </w:p>
        </w:tc>
        <w:tc>
          <w:tcPr>
            <w:tcW w:w="336" w:type="pct"/>
            <w:shd w:val="clear" w:color="auto" w:fill="auto"/>
            <w:noWrap w:val="0"/>
            <w:vAlign w:val="center"/>
          </w:tcPr>
          <w:p w14:paraId="0A0CECD8">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2</w:t>
            </w:r>
          </w:p>
        </w:tc>
        <w:tc>
          <w:tcPr>
            <w:tcW w:w="332" w:type="pct"/>
            <w:shd w:val="clear" w:color="auto" w:fill="auto"/>
            <w:noWrap w:val="0"/>
            <w:vAlign w:val="center"/>
          </w:tcPr>
          <w:p w14:paraId="2ADE248E">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台</w:t>
            </w:r>
          </w:p>
        </w:tc>
        <w:tc>
          <w:tcPr>
            <w:tcW w:w="804" w:type="pct"/>
            <w:noWrap w:val="0"/>
            <w:vAlign w:val="center"/>
          </w:tcPr>
          <w:p w14:paraId="650E759C">
            <w:pPr>
              <w:pStyle w:val="23"/>
              <w:snapToGrid w:val="0"/>
              <w:spacing w:line="240" w:lineRule="atLeast"/>
              <w:ind w:left="1157" w:leftChars="257" w:hanging="540"/>
              <w:jc w:val="center"/>
              <w:rPr>
                <w:rFonts w:hint="eastAsia" w:hAnsi="宋体" w:cs="宋体"/>
                <w:color w:val="000000"/>
                <w:sz w:val="24"/>
                <w:szCs w:val="24"/>
                <w:highlight w:val="none"/>
              </w:rPr>
            </w:pPr>
          </w:p>
        </w:tc>
        <w:tc>
          <w:tcPr>
            <w:tcW w:w="535" w:type="pct"/>
            <w:noWrap w:val="0"/>
            <w:vAlign w:val="center"/>
          </w:tcPr>
          <w:p w14:paraId="64A86B2D">
            <w:pPr>
              <w:pStyle w:val="23"/>
              <w:snapToGrid w:val="0"/>
              <w:spacing w:line="240" w:lineRule="atLeast"/>
              <w:ind w:left="1157" w:leftChars="257" w:hanging="540"/>
              <w:jc w:val="center"/>
              <w:rPr>
                <w:rFonts w:hint="eastAsia" w:hAnsi="宋体" w:cs="宋体"/>
                <w:color w:val="000000"/>
                <w:sz w:val="24"/>
                <w:szCs w:val="24"/>
                <w:highlight w:val="none"/>
              </w:rPr>
            </w:pPr>
          </w:p>
        </w:tc>
        <w:tc>
          <w:tcPr>
            <w:tcW w:w="684" w:type="pct"/>
            <w:noWrap w:val="0"/>
            <w:vAlign w:val="center"/>
          </w:tcPr>
          <w:p w14:paraId="44498AB7">
            <w:pPr>
              <w:pStyle w:val="23"/>
              <w:snapToGrid w:val="0"/>
              <w:spacing w:line="240" w:lineRule="atLeast"/>
              <w:ind w:left="1157" w:leftChars="257" w:hanging="540"/>
              <w:jc w:val="center"/>
              <w:rPr>
                <w:rFonts w:hint="eastAsia" w:hAnsi="宋体" w:cs="宋体"/>
                <w:color w:val="000000"/>
                <w:sz w:val="24"/>
                <w:szCs w:val="24"/>
                <w:highlight w:val="none"/>
              </w:rPr>
            </w:pPr>
          </w:p>
        </w:tc>
        <w:tc>
          <w:tcPr>
            <w:tcW w:w="348" w:type="pct"/>
            <w:noWrap w:val="0"/>
            <w:vAlign w:val="center"/>
          </w:tcPr>
          <w:p w14:paraId="02834A53">
            <w:pPr>
              <w:pStyle w:val="23"/>
              <w:snapToGrid w:val="0"/>
              <w:spacing w:line="240" w:lineRule="atLeast"/>
              <w:ind w:left="1157" w:leftChars="257" w:hanging="540"/>
              <w:jc w:val="center"/>
              <w:rPr>
                <w:rFonts w:hint="eastAsia" w:hAnsi="宋体" w:cs="宋体"/>
                <w:color w:val="000000"/>
                <w:sz w:val="24"/>
                <w:szCs w:val="24"/>
                <w:highlight w:val="none"/>
              </w:rPr>
            </w:pPr>
          </w:p>
        </w:tc>
      </w:tr>
      <w:tr w14:paraId="3981E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228" w:type="pct"/>
            <w:noWrap w:val="0"/>
            <w:vAlign w:val="center"/>
          </w:tcPr>
          <w:p w14:paraId="73C62AE0">
            <w:pPr>
              <w:pStyle w:val="23"/>
              <w:snapToGrid w:val="0"/>
              <w:spacing w:line="240" w:lineRule="atLeast"/>
              <w:jc w:val="both"/>
              <w:rPr>
                <w:rFonts w:hint="eastAsia" w:hAnsi="宋体" w:cs="宋体"/>
                <w:color w:val="000000"/>
                <w:sz w:val="24"/>
                <w:szCs w:val="24"/>
                <w:highlight w:val="none"/>
                <w:lang w:val="en-US" w:eastAsia="zh-CN"/>
              </w:rPr>
            </w:pPr>
            <w:r>
              <w:rPr>
                <w:rFonts w:hint="eastAsia" w:hAnsi="宋体" w:cs="宋体"/>
                <w:color w:val="000000"/>
                <w:sz w:val="24"/>
                <w:szCs w:val="24"/>
                <w:highlight w:val="none"/>
                <w:lang w:val="en-US" w:eastAsia="zh-CN"/>
              </w:rPr>
              <w:t>2</w:t>
            </w:r>
          </w:p>
        </w:tc>
        <w:tc>
          <w:tcPr>
            <w:tcW w:w="1055" w:type="pct"/>
            <w:shd w:val="clear" w:color="auto" w:fill="auto"/>
            <w:noWrap w:val="0"/>
            <w:vAlign w:val="center"/>
          </w:tcPr>
          <w:p w14:paraId="2D6A2795">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内镜清洗工作站</w:t>
            </w:r>
          </w:p>
        </w:tc>
        <w:tc>
          <w:tcPr>
            <w:tcW w:w="674" w:type="pct"/>
            <w:noWrap w:val="0"/>
            <w:vAlign w:val="center"/>
          </w:tcPr>
          <w:p w14:paraId="4B69D110">
            <w:pPr>
              <w:pStyle w:val="23"/>
              <w:snapToGrid w:val="0"/>
              <w:spacing w:line="240" w:lineRule="atLeast"/>
              <w:ind w:firstLine="240" w:firstLineChars="100"/>
              <w:jc w:val="both"/>
              <w:rPr>
                <w:rFonts w:hint="default" w:hAnsi="宋体" w:cs="宋体" w:eastAsiaTheme="minorEastAsia"/>
                <w:color w:val="000000"/>
                <w:sz w:val="24"/>
                <w:szCs w:val="24"/>
                <w:highlight w:val="none"/>
                <w:lang w:val="en-US" w:eastAsia="zh-CN"/>
              </w:rPr>
            </w:pPr>
          </w:p>
        </w:tc>
        <w:tc>
          <w:tcPr>
            <w:tcW w:w="336" w:type="pct"/>
            <w:shd w:val="clear" w:color="auto" w:fill="auto"/>
            <w:noWrap w:val="0"/>
            <w:vAlign w:val="center"/>
          </w:tcPr>
          <w:p w14:paraId="2FAD1B3E">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2</w:t>
            </w:r>
          </w:p>
        </w:tc>
        <w:tc>
          <w:tcPr>
            <w:tcW w:w="332" w:type="pct"/>
            <w:shd w:val="clear" w:color="auto" w:fill="auto"/>
            <w:noWrap w:val="0"/>
            <w:vAlign w:val="center"/>
          </w:tcPr>
          <w:p w14:paraId="7B67212A">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台</w:t>
            </w:r>
          </w:p>
        </w:tc>
        <w:tc>
          <w:tcPr>
            <w:tcW w:w="804" w:type="pct"/>
            <w:noWrap w:val="0"/>
            <w:vAlign w:val="center"/>
          </w:tcPr>
          <w:p w14:paraId="311054A6">
            <w:pPr>
              <w:pStyle w:val="23"/>
              <w:snapToGrid w:val="0"/>
              <w:spacing w:line="240" w:lineRule="atLeast"/>
              <w:ind w:left="1157" w:leftChars="257" w:hanging="540"/>
              <w:jc w:val="center"/>
              <w:rPr>
                <w:rFonts w:hint="eastAsia" w:hAnsi="宋体" w:cs="宋体"/>
                <w:color w:val="000000"/>
                <w:sz w:val="24"/>
                <w:szCs w:val="24"/>
                <w:highlight w:val="none"/>
              </w:rPr>
            </w:pPr>
          </w:p>
        </w:tc>
        <w:tc>
          <w:tcPr>
            <w:tcW w:w="535" w:type="pct"/>
            <w:noWrap w:val="0"/>
            <w:vAlign w:val="center"/>
          </w:tcPr>
          <w:p w14:paraId="70765F50">
            <w:pPr>
              <w:pStyle w:val="23"/>
              <w:snapToGrid w:val="0"/>
              <w:spacing w:line="240" w:lineRule="atLeast"/>
              <w:ind w:left="1157" w:leftChars="257" w:hanging="540"/>
              <w:jc w:val="center"/>
              <w:rPr>
                <w:rFonts w:hint="eastAsia" w:hAnsi="宋体" w:cs="宋体"/>
                <w:color w:val="000000"/>
                <w:sz w:val="24"/>
                <w:szCs w:val="24"/>
                <w:highlight w:val="none"/>
              </w:rPr>
            </w:pPr>
          </w:p>
        </w:tc>
        <w:tc>
          <w:tcPr>
            <w:tcW w:w="684" w:type="pct"/>
            <w:noWrap w:val="0"/>
            <w:vAlign w:val="center"/>
          </w:tcPr>
          <w:p w14:paraId="315812FC">
            <w:pPr>
              <w:pStyle w:val="23"/>
              <w:snapToGrid w:val="0"/>
              <w:spacing w:line="240" w:lineRule="atLeast"/>
              <w:ind w:left="1157" w:leftChars="257" w:hanging="540"/>
              <w:jc w:val="center"/>
              <w:rPr>
                <w:rFonts w:hint="eastAsia" w:hAnsi="宋体" w:cs="宋体"/>
                <w:color w:val="000000"/>
                <w:sz w:val="24"/>
                <w:szCs w:val="24"/>
                <w:highlight w:val="none"/>
              </w:rPr>
            </w:pPr>
          </w:p>
        </w:tc>
        <w:tc>
          <w:tcPr>
            <w:tcW w:w="348" w:type="pct"/>
            <w:noWrap w:val="0"/>
            <w:vAlign w:val="center"/>
          </w:tcPr>
          <w:p w14:paraId="5CDE8957">
            <w:pPr>
              <w:pStyle w:val="23"/>
              <w:snapToGrid w:val="0"/>
              <w:spacing w:line="240" w:lineRule="atLeast"/>
              <w:ind w:left="1157" w:leftChars="257" w:hanging="540"/>
              <w:jc w:val="center"/>
              <w:rPr>
                <w:rFonts w:hint="eastAsia" w:hAnsi="宋体" w:cs="宋体"/>
                <w:color w:val="000000"/>
                <w:sz w:val="24"/>
                <w:szCs w:val="24"/>
                <w:highlight w:val="none"/>
              </w:rPr>
            </w:pPr>
          </w:p>
        </w:tc>
      </w:tr>
      <w:tr w14:paraId="0C79D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228" w:type="pct"/>
            <w:noWrap w:val="0"/>
            <w:vAlign w:val="center"/>
          </w:tcPr>
          <w:p w14:paraId="312A193D">
            <w:pPr>
              <w:pStyle w:val="23"/>
              <w:snapToGrid w:val="0"/>
              <w:spacing w:line="240" w:lineRule="atLeast"/>
              <w:jc w:val="both"/>
              <w:rPr>
                <w:rFonts w:hint="default" w:hAnsi="宋体" w:cs="宋体"/>
                <w:color w:val="000000"/>
                <w:sz w:val="24"/>
                <w:szCs w:val="24"/>
                <w:highlight w:val="none"/>
                <w:lang w:val="en-US" w:eastAsia="zh-CN"/>
              </w:rPr>
            </w:pPr>
            <w:r>
              <w:rPr>
                <w:rFonts w:hint="eastAsia" w:hAnsi="宋体" w:cs="宋体"/>
                <w:color w:val="000000"/>
                <w:sz w:val="24"/>
                <w:szCs w:val="24"/>
                <w:highlight w:val="none"/>
                <w:lang w:val="en-US" w:eastAsia="zh-CN"/>
              </w:rPr>
              <w:t>3</w:t>
            </w:r>
          </w:p>
        </w:tc>
        <w:tc>
          <w:tcPr>
            <w:tcW w:w="1055" w:type="pct"/>
            <w:shd w:val="clear" w:color="auto" w:fill="auto"/>
            <w:noWrap w:val="0"/>
            <w:vAlign w:val="center"/>
          </w:tcPr>
          <w:p w14:paraId="6756AAAC">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内镜追溯管理系统</w:t>
            </w:r>
          </w:p>
        </w:tc>
        <w:tc>
          <w:tcPr>
            <w:tcW w:w="674" w:type="pct"/>
            <w:noWrap w:val="0"/>
            <w:vAlign w:val="center"/>
          </w:tcPr>
          <w:p w14:paraId="4AD11D54">
            <w:pPr>
              <w:pStyle w:val="23"/>
              <w:snapToGrid w:val="0"/>
              <w:spacing w:line="240" w:lineRule="atLeast"/>
              <w:ind w:firstLine="240" w:firstLineChars="100"/>
              <w:jc w:val="both"/>
              <w:rPr>
                <w:rFonts w:hint="default" w:hAnsi="宋体" w:cs="宋体" w:eastAsiaTheme="minorEastAsia"/>
                <w:color w:val="000000"/>
                <w:sz w:val="24"/>
                <w:szCs w:val="24"/>
                <w:highlight w:val="none"/>
                <w:lang w:val="en-US" w:eastAsia="zh-CN"/>
              </w:rPr>
            </w:pPr>
          </w:p>
        </w:tc>
        <w:tc>
          <w:tcPr>
            <w:tcW w:w="336" w:type="pct"/>
            <w:shd w:val="clear" w:color="auto" w:fill="auto"/>
            <w:noWrap w:val="0"/>
            <w:vAlign w:val="center"/>
          </w:tcPr>
          <w:p w14:paraId="7FC48F36">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1</w:t>
            </w:r>
          </w:p>
        </w:tc>
        <w:tc>
          <w:tcPr>
            <w:tcW w:w="332" w:type="pct"/>
            <w:shd w:val="clear" w:color="auto" w:fill="auto"/>
            <w:noWrap w:val="0"/>
            <w:vAlign w:val="center"/>
          </w:tcPr>
          <w:p w14:paraId="0DC4DB2A">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套</w:t>
            </w:r>
          </w:p>
        </w:tc>
        <w:tc>
          <w:tcPr>
            <w:tcW w:w="804" w:type="pct"/>
            <w:noWrap w:val="0"/>
            <w:vAlign w:val="center"/>
          </w:tcPr>
          <w:p w14:paraId="75DDC931">
            <w:pPr>
              <w:pStyle w:val="23"/>
              <w:snapToGrid w:val="0"/>
              <w:spacing w:line="240" w:lineRule="atLeast"/>
              <w:ind w:left="1157" w:leftChars="257" w:hanging="540"/>
              <w:jc w:val="center"/>
              <w:rPr>
                <w:rFonts w:hint="eastAsia" w:hAnsi="宋体" w:cs="宋体"/>
                <w:color w:val="000000"/>
                <w:sz w:val="24"/>
                <w:szCs w:val="24"/>
                <w:highlight w:val="none"/>
              </w:rPr>
            </w:pPr>
          </w:p>
        </w:tc>
        <w:tc>
          <w:tcPr>
            <w:tcW w:w="535" w:type="pct"/>
            <w:noWrap w:val="0"/>
            <w:vAlign w:val="center"/>
          </w:tcPr>
          <w:p w14:paraId="2FFA8D5D">
            <w:pPr>
              <w:pStyle w:val="23"/>
              <w:snapToGrid w:val="0"/>
              <w:spacing w:line="240" w:lineRule="atLeast"/>
              <w:ind w:left="1157" w:leftChars="257" w:hanging="540"/>
              <w:jc w:val="center"/>
              <w:rPr>
                <w:rFonts w:hint="eastAsia" w:hAnsi="宋体" w:cs="宋体"/>
                <w:color w:val="000000"/>
                <w:sz w:val="24"/>
                <w:szCs w:val="24"/>
                <w:highlight w:val="none"/>
              </w:rPr>
            </w:pPr>
          </w:p>
        </w:tc>
        <w:tc>
          <w:tcPr>
            <w:tcW w:w="684" w:type="pct"/>
            <w:noWrap w:val="0"/>
            <w:vAlign w:val="center"/>
          </w:tcPr>
          <w:p w14:paraId="398D2B03">
            <w:pPr>
              <w:pStyle w:val="23"/>
              <w:snapToGrid w:val="0"/>
              <w:spacing w:line="240" w:lineRule="atLeast"/>
              <w:ind w:left="1157" w:leftChars="257" w:hanging="540"/>
              <w:jc w:val="center"/>
              <w:rPr>
                <w:rFonts w:hint="eastAsia" w:hAnsi="宋体" w:cs="宋体"/>
                <w:color w:val="000000"/>
                <w:sz w:val="24"/>
                <w:szCs w:val="24"/>
                <w:highlight w:val="none"/>
              </w:rPr>
            </w:pPr>
          </w:p>
        </w:tc>
        <w:tc>
          <w:tcPr>
            <w:tcW w:w="348" w:type="pct"/>
            <w:noWrap w:val="0"/>
            <w:vAlign w:val="center"/>
          </w:tcPr>
          <w:p w14:paraId="2E3A35B4">
            <w:pPr>
              <w:pStyle w:val="23"/>
              <w:snapToGrid w:val="0"/>
              <w:spacing w:line="240" w:lineRule="atLeast"/>
              <w:ind w:left="1157" w:leftChars="257" w:hanging="540"/>
              <w:jc w:val="center"/>
              <w:rPr>
                <w:rFonts w:hint="eastAsia" w:hAnsi="宋体" w:cs="宋体"/>
                <w:color w:val="000000"/>
                <w:sz w:val="24"/>
                <w:szCs w:val="24"/>
                <w:highlight w:val="none"/>
              </w:rPr>
            </w:pPr>
          </w:p>
        </w:tc>
      </w:tr>
      <w:tr w14:paraId="02D9E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228" w:type="pct"/>
            <w:noWrap w:val="0"/>
            <w:vAlign w:val="center"/>
          </w:tcPr>
          <w:p w14:paraId="5B95EC1C">
            <w:pPr>
              <w:pStyle w:val="23"/>
              <w:snapToGrid w:val="0"/>
              <w:spacing w:line="240" w:lineRule="atLeast"/>
              <w:jc w:val="both"/>
              <w:rPr>
                <w:rFonts w:hint="default" w:hAnsi="宋体" w:cs="宋体"/>
                <w:color w:val="000000"/>
                <w:sz w:val="24"/>
                <w:szCs w:val="24"/>
                <w:highlight w:val="none"/>
                <w:lang w:val="en-US" w:eastAsia="zh-CN"/>
              </w:rPr>
            </w:pPr>
            <w:r>
              <w:rPr>
                <w:rFonts w:hint="eastAsia" w:hAnsi="宋体" w:cs="宋体"/>
                <w:color w:val="000000"/>
                <w:sz w:val="24"/>
                <w:szCs w:val="24"/>
                <w:highlight w:val="none"/>
                <w:lang w:val="en-US" w:eastAsia="zh-CN"/>
              </w:rPr>
              <w:t>4</w:t>
            </w:r>
          </w:p>
        </w:tc>
        <w:tc>
          <w:tcPr>
            <w:tcW w:w="1055" w:type="pct"/>
            <w:shd w:val="clear" w:color="auto" w:fill="auto"/>
            <w:noWrap w:val="0"/>
            <w:vAlign w:val="center"/>
          </w:tcPr>
          <w:p w14:paraId="49E15183">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全自动内镜纯水机</w:t>
            </w:r>
          </w:p>
        </w:tc>
        <w:tc>
          <w:tcPr>
            <w:tcW w:w="674" w:type="pct"/>
            <w:noWrap w:val="0"/>
            <w:vAlign w:val="center"/>
          </w:tcPr>
          <w:p w14:paraId="452EEFF3">
            <w:pPr>
              <w:pStyle w:val="23"/>
              <w:snapToGrid w:val="0"/>
              <w:spacing w:line="240" w:lineRule="atLeast"/>
              <w:ind w:firstLine="240" w:firstLineChars="100"/>
              <w:jc w:val="both"/>
              <w:rPr>
                <w:rFonts w:hint="default" w:hAnsi="宋体" w:cs="宋体" w:eastAsiaTheme="minorEastAsia"/>
                <w:color w:val="000000"/>
                <w:sz w:val="24"/>
                <w:szCs w:val="24"/>
                <w:highlight w:val="none"/>
                <w:lang w:val="en-US" w:eastAsia="zh-CN"/>
              </w:rPr>
            </w:pPr>
          </w:p>
        </w:tc>
        <w:tc>
          <w:tcPr>
            <w:tcW w:w="336" w:type="pct"/>
            <w:shd w:val="clear" w:color="auto" w:fill="auto"/>
            <w:noWrap w:val="0"/>
            <w:vAlign w:val="center"/>
          </w:tcPr>
          <w:p w14:paraId="460F16C5">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1</w:t>
            </w:r>
          </w:p>
        </w:tc>
        <w:tc>
          <w:tcPr>
            <w:tcW w:w="332" w:type="pct"/>
            <w:shd w:val="clear" w:color="auto" w:fill="auto"/>
            <w:noWrap w:val="0"/>
            <w:vAlign w:val="center"/>
          </w:tcPr>
          <w:p w14:paraId="79821C4D">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台</w:t>
            </w:r>
          </w:p>
        </w:tc>
        <w:tc>
          <w:tcPr>
            <w:tcW w:w="804" w:type="pct"/>
            <w:noWrap w:val="0"/>
            <w:vAlign w:val="center"/>
          </w:tcPr>
          <w:p w14:paraId="33821EBE">
            <w:pPr>
              <w:pStyle w:val="23"/>
              <w:snapToGrid w:val="0"/>
              <w:spacing w:line="240" w:lineRule="atLeast"/>
              <w:ind w:left="1157" w:leftChars="257" w:hanging="540"/>
              <w:jc w:val="center"/>
              <w:rPr>
                <w:rFonts w:hint="eastAsia" w:hAnsi="宋体" w:cs="宋体"/>
                <w:color w:val="000000"/>
                <w:sz w:val="24"/>
                <w:szCs w:val="24"/>
                <w:highlight w:val="none"/>
              </w:rPr>
            </w:pPr>
          </w:p>
        </w:tc>
        <w:tc>
          <w:tcPr>
            <w:tcW w:w="535" w:type="pct"/>
            <w:noWrap w:val="0"/>
            <w:vAlign w:val="center"/>
          </w:tcPr>
          <w:p w14:paraId="41CFB3FD">
            <w:pPr>
              <w:pStyle w:val="23"/>
              <w:snapToGrid w:val="0"/>
              <w:spacing w:line="240" w:lineRule="atLeast"/>
              <w:ind w:left="1157" w:leftChars="257" w:hanging="540"/>
              <w:jc w:val="center"/>
              <w:rPr>
                <w:rFonts w:hint="eastAsia" w:hAnsi="宋体" w:cs="宋体"/>
                <w:color w:val="000000"/>
                <w:sz w:val="24"/>
                <w:szCs w:val="24"/>
                <w:highlight w:val="none"/>
              </w:rPr>
            </w:pPr>
          </w:p>
        </w:tc>
        <w:tc>
          <w:tcPr>
            <w:tcW w:w="684" w:type="pct"/>
            <w:noWrap w:val="0"/>
            <w:vAlign w:val="center"/>
          </w:tcPr>
          <w:p w14:paraId="06C99444">
            <w:pPr>
              <w:pStyle w:val="23"/>
              <w:snapToGrid w:val="0"/>
              <w:spacing w:line="240" w:lineRule="atLeast"/>
              <w:ind w:left="1157" w:leftChars="257" w:hanging="540"/>
              <w:jc w:val="center"/>
              <w:rPr>
                <w:rFonts w:hint="eastAsia" w:hAnsi="宋体" w:cs="宋体"/>
                <w:color w:val="000000"/>
                <w:sz w:val="24"/>
                <w:szCs w:val="24"/>
                <w:highlight w:val="none"/>
              </w:rPr>
            </w:pPr>
          </w:p>
        </w:tc>
        <w:tc>
          <w:tcPr>
            <w:tcW w:w="348" w:type="pct"/>
            <w:noWrap w:val="0"/>
            <w:vAlign w:val="center"/>
          </w:tcPr>
          <w:p w14:paraId="42E66162">
            <w:pPr>
              <w:pStyle w:val="23"/>
              <w:snapToGrid w:val="0"/>
              <w:spacing w:line="240" w:lineRule="atLeast"/>
              <w:ind w:left="1157" w:leftChars="257" w:hanging="540"/>
              <w:jc w:val="center"/>
              <w:rPr>
                <w:rFonts w:hint="eastAsia" w:hAnsi="宋体" w:cs="宋体"/>
                <w:color w:val="000000"/>
                <w:sz w:val="24"/>
                <w:szCs w:val="24"/>
                <w:highlight w:val="none"/>
              </w:rPr>
            </w:pPr>
          </w:p>
        </w:tc>
      </w:tr>
      <w:tr w14:paraId="6A826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228" w:type="pct"/>
            <w:noWrap w:val="0"/>
            <w:vAlign w:val="center"/>
          </w:tcPr>
          <w:p w14:paraId="5EB134A4">
            <w:pPr>
              <w:pStyle w:val="23"/>
              <w:snapToGrid w:val="0"/>
              <w:spacing w:line="240" w:lineRule="atLeast"/>
              <w:jc w:val="both"/>
              <w:rPr>
                <w:rFonts w:hint="default" w:hAnsi="宋体" w:cs="宋体"/>
                <w:color w:val="000000"/>
                <w:sz w:val="24"/>
                <w:szCs w:val="24"/>
                <w:highlight w:val="none"/>
                <w:lang w:val="en-US" w:eastAsia="zh-CN"/>
              </w:rPr>
            </w:pPr>
            <w:r>
              <w:rPr>
                <w:rFonts w:hint="eastAsia" w:hAnsi="宋体" w:cs="宋体"/>
                <w:color w:val="000000"/>
                <w:sz w:val="24"/>
                <w:szCs w:val="24"/>
                <w:highlight w:val="none"/>
                <w:lang w:val="en-US" w:eastAsia="zh-CN"/>
              </w:rPr>
              <w:t>5</w:t>
            </w:r>
          </w:p>
        </w:tc>
        <w:tc>
          <w:tcPr>
            <w:tcW w:w="1055" w:type="pct"/>
            <w:shd w:val="clear" w:color="auto" w:fill="auto"/>
            <w:noWrap w:val="0"/>
            <w:vAlign w:val="center"/>
          </w:tcPr>
          <w:p w14:paraId="503ADBB4">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内镜储存柜</w:t>
            </w:r>
          </w:p>
        </w:tc>
        <w:tc>
          <w:tcPr>
            <w:tcW w:w="674" w:type="pct"/>
            <w:noWrap w:val="0"/>
            <w:vAlign w:val="center"/>
          </w:tcPr>
          <w:p w14:paraId="2266DC58">
            <w:pPr>
              <w:pStyle w:val="23"/>
              <w:snapToGrid w:val="0"/>
              <w:spacing w:line="240" w:lineRule="atLeast"/>
              <w:ind w:firstLine="240" w:firstLineChars="100"/>
              <w:jc w:val="both"/>
              <w:rPr>
                <w:rFonts w:hint="default" w:hAnsi="宋体" w:cs="宋体" w:eastAsiaTheme="minorEastAsia"/>
                <w:color w:val="000000"/>
                <w:sz w:val="24"/>
                <w:szCs w:val="24"/>
                <w:highlight w:val="none"/>
                <w:lang w:val="en-US" w:eastAsia="zh-CN"/>
              </w:rPr>
            </w:pPr>
          </w:p>
        </w:tc>
        <w:tc>
          <w:tcPr>
            <w:tcW w:w="336" w:type="pct"/>
            <w:shd w:val="clear" w:color="auto" w:fill="auto"/>
            <w:noWrap w:val="0"/>
            <w:vAlign w:val="center"/>
          </w:tcPr>
          <w:p w14:paraId="4C4F5584">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1</w:t>
            </w:r>
          </w:p>
        </w:tc>
        <w:tc>
          <w:tcPr>
            <w:tcW w:w="332" w:type="pct"/>
            <w:shd w:val="clear" w:color="auto" w:fill="auto"/>
            <w:noWrap w:val="0"/>
            <w:vAlign w:val="center"/>
          </w:tcPr>
          <w:p w14:paraId="10DE4EEF">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台</w:t>
            </w:r>
          </w:p>
        </w:tc>
        <w:tc>
          <w:tcPr>
            <w:tcW w:w="804" w:type="pct"/>
            <w:noWrap w:val="0"/>
            <w:vAlign w:val="center"/>
          </w:tcPr>
          <w:p w14:paraId="1F1B5C1B">
            <w:pPr>
              <w:pStyle w:val="23"/>
              <w:snapToGrid w:val="0"/>
              <w:spacing w:line="240" w:lineRule="atLeast"/>
              <w:ind w:left="1157" w:leftChars="257" w:hanging="540"/>
              <w:jc w:val="center"/>
              <w:rPr>
                <w:rFonts w:hint="eastAsia" w:hAnsi="宋体" w:cs="宋体"/>
                <w:color w:val="000000"/>
                <w:sz w:val="24"/>
                <w:szCs w:val="24"/>
                <w:highlight w:val="none"/>
              </w:rPr>
            </w:pPr>
          </w:p>
        </w:tc>
        <w:tc>
          <w:tcPr>
            <w:tcW w:w="535" w:type="pct"/>
            <w:noWrap w:val="0"/>
            <w:vAlign w:val="center"/>
          </w:tcPr>
          <w:p w14:paraId="71A11E9F">
            <w:pPr>
              <w:pStyle w:val="23"/>
              <w:snapToGrid w:val="0"/>
              <w:spacing w:line="240" w:lineRule="atLeast"/>
              <w:ind w:left="1157" w:leftChars="257" w:hanging="540"/>
              <w:jc w:val="center"/>
              <w:rPr>
                <w:rFonts w:hint="eastAsia" w:hAnsi="宋体" w:cs="宋体"/>
                <w:color w:val="000000"/>
                <w:sz w:val="24"/>
                <w:szCs w:val="24"/>
                <w:highlight w:val="none"/>
              </w:rPr>
            </w:pPr>
          </w:p>
        </w:tc>
        <w:tc>
          <w:tcPr>
            <w:tcW w:w="684" w:type="pct"/>
            <w:noWrap w:val="0"/>
            <w:vAlign w:val="center"/>
          </w:tcPr>
          <w:p w14:paraId="525BF84B">
            <w:pPr>
              <w:pStyle w:val="23"/>
              <w:snapToGrid w:val="0"/>
              <w:spacing w:line="240" w:lineRule="atLeast"/>
              <w:ind w:left="1157" w:leftChars="257" w:hanging="540"/>
              <w:jc w:val="center"/>
              <w:rPr>
                <w:rFonts w:hint="eastAsia" w:hAnsi="宋体" w:cs="宋体"/>
                <w:color w:val="000000"/>
                <w:sz w:val="24"/>
                <w:szCs w:val="24"/>
                <w:highlight w:val="none"/>
              </w:rPr>
            </w:pPr>
          </w:p>
        </w:tc>
        <w:tc>
          <w:tcPr>
            <w:tcW w:w="348" w:type="pct"/>
            <w:noWrap w:val="0"/>
            <w:vAlign w:val="center"/>
          </w:tcPr>
          <w:p w14:paraId="10368370">
            <w:pPr>
              <w:pStyle w:val="23"/>
              <w:snapToGrid w:val="0"/>
              <w:spacing w:line="240" w:lineRule="atLeast"/>
              <w:ind w:left="1157" w:leftChars="257" w:hanging="540"/>
              <w:jc w:val="center"/>
              <w:rPr>
                <w:rFonts w:hint="eastAsia" w:hAnsi="宋体" w:cs="宋体"/>
                <w:color w:val="000000"/>
                <w:sz w:val="24"/>
                <w:szCs w:val="24"/>
                <w:highlight w:val="none"/>
              </w:rPr>
            </w:pPr>
          </w:p>
        </w:tc>
      </w:tr>
      <w:tr w14:paraId="4BE0E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228" w:type="pct"/>
            <w:noWrap w:val="0"/>
            <w:vAlign w:val="center"/>
          </w:tcPr>
          <w:p w14:paraId="0587BFCE">
            <w:pPr>
              <w:pStyle w:val="23"/>
              <w:snapToGrid w:val="0"/>
              <w:spacing w:line="240" w:lineRule="atLeast"/>
              <w:jc w:val="both"/>
              <w:rPr>
                <w:rFonts w:hint="default" w:hAnsi="宋体" w:cs="宋体"/>
                <w:color w:val="000000"/>
                <w:sz w:val="24"/>
                <w:szCs w:val="24"/>
                <w:highlight w:val="none"/>
                <w:lang w:val="en-US" w:eastAsia="zh-CN"/>
              </w:rPr>
            </w:pPr>
            <w:r>
              <w:rPr>
                <w:rFonts w:hint="eastAsia" w:hAnsi="宋体" w:cs="宋体"/>
                <w:color w:val="000000"/>
                <w:sz w:val="24"/>
                <w:szCs w:val="24"/>
                <w:highlight w:val="none"/>
                <w:lang w:val="en-US" w:eastAsia="zh-CN"/>
              </w:rPr>
              <w:t>6</w:t>
            </w:r>
          </w:p>
        </w:tc>
        <w:tc>
          <w:tcPr>
            <w:tcW w:w="1055" w:type="pct"/>
            <w:shd w:val="clear" w:color="auto" w:fill="auto"/>
            <w:noWrap w:val="0"/>
            <w:vAlign w:val="center"/>
          </w:tcPr>
          <w:p w14:paraId="499B16B5">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医用等离子体空气消毒器</w:t>
            </w:r>
          </w:p>
        </w:tc>
        <w:tc>
          <w:tcPr>
            <w:tcW w:w="674" w:type="pct"/>
            <w:noWrap w:val="0"/>
            <w:vAlign w:val="center"/>
          </w:tcPr>
          <w:p w14:paraId="7C19E87E">
            <w:pPr>
              <w:pStyle w:val="23"/>
              <w:snapToGrid w:val="0"/>
              <w:spacing w:line="240" w:lineRule="atLeast"/>
              <w:ind w:firstLine="240" w:firstLineChars="100"/>
              <w:jc w:val="both"/>
              <w:rPr>
                <w:rFonts w:hint="default" w:hAnsi="宋体" w:cs="宋体" w:eastAsiaTheme="minorEastAsia"/>
                <w:color w:val="000000"/>
                <w:sz w:val="24"/>
                <w:szCs w:val="24"/>
                <w:highlight w:val="none"/>
                <w:lang w:val="en-US" w:eastAsia="zh-CN"/>
              </w:rPr>
            </w:pPr>
          </w:p>
        </w:tc>
        <w:tc>
          <w:tcPr>
            <w:tcW w:w="336" w:type="pct"/>
            <w:shd w:val="clear" w:color="auto" w:fill="auto"/>
            <w:noWrap w:val="0"/>
            <w:vAlign w:val="center"/>
          </w:tcPr>
          <w:p w14:paraId="42580687">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3</w:t>
            </w:r>
          </w:p>
        </w:tc>
        <w:tc>
          <w:tcPr>
            <w:tcW w:w="332" w:type="pct"/>
            <w:shd w:val="clear" w:color="auto" w:fill="auto"/>
            <w:noWrap w:val="0"/>
            <w:vAlign w:val="center"/>
          </w:tcPr>
          <w:p w14:paraId="0E8FBBE8">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台</w:t>
            </w:r>
          </w:p>
        </w:tc>
        <w:tc>
          <w:tcPr>
            <w:tcW w:w="804" w:type="pct"/>
            <w:noWrap w:val="0"/>
            <w:vAlign w:val="center"/>
          </w:tcPr>
          <w:p w14:paraId="27CCB546">
            <w:pPr>
              <w:pStyle w:val="23"/>
              <w:snapToGrid w:val="0"/>
              <w:spacing w:line="240" w:lineRule="atLeast"/>
              <w:ind w:left="1157" w:leftChars="257" w:hanging="540"/>
              <w:jc w:val="center"/>
              <w:rPr>
                <w:rFonts w:hint="eastAsia" w:hAnsi="宋体" w:cs="宋体"/>
                <w:color w:val="000000"/>
                <w:sz w:val="24"/>
                <w:szCs w:val="24"/>
                <w:highlight w:val="none"/>
              </w:rPr>
            </w:pPr>
          </w:p>
        </w:tc>
        <w:tc>
          <w:tcPr>
            <w:tcW w:w="535" w:type="pct"/>
            <w:noWrap w:val="0"/>
            <w:vAlign w:val="center"/>
          </w:tcPr>
          <w:p w14:paraId="4FF8ED72">
            <w:pPr>
              <w:pStyle w:val="23"/>
              <w:snapToGrid w:val="0"/>
              <w:spacing w:line="240" w:lineRule="atLeast"/>
              <w:ind w:left="1157" w:leftChars="257" w:hanging="540"/>
              <w:jc w:val="center"/>
              <w:rPr>
                <w:rFonts w:hint="eastAsia" w:hAnsi="宋体" w:cs="宋体"/>
                <w:color w:val="000000"/>
                <w:sz w:val="24"/>
                <w:szCs w:val="24"/>
                <w:highlight w:val="none"/>
              </w:rPr>
            </w:pPr>
          </w:p>
        </w:tc>
        <w:tc>
          <w:tcPr>
            <w:tcW w:w="684" w:type="pct"/>
            <w:noWrap w:val="0"/>
            <w:vAlign w:val="center"/>
          </w:tcPr>
          <w:p w14:paraId="7B90B5C9">
            <w:pPr>
              <w:pStyle w:val="23"/>
              <w:snapToGrid w:val="0"/>
              <w:spacing w:line="240" w:lineRule="atLeast"/>
              <w:ind w:left="1157" w:leftChars="257" w:hanging="540"/>
              <w:jc w:val="center"/>
              <w:rPr>
                <w:rFonts w:hint="eastAsia" w:hAnsi="宋体" w:cs="宋体"/>
                <w:color w:val="000000"/>
                <w:sz w:val="24"/>
                <w:szCs w:val="24"/>
                <w:highlight w:val="none"/>
              </w:rPr>
            </w:pPr>
          </w:p>
        </w:tc>
        <w:tc>
          <w:tcPr>
            <w:tcW w:w="348" w:type="pct"/>
            <w:noWrap w:val="0"/>
            <w:vAlign w:val="center"/>
          </w:tcPr>
          <w:p w14:paraId="5E0A6D0C">
            <w:pPr>
              <w:pStyle w:val="23"/>
              <w:snapToGrid w:val="0"/>
              <w:spacing w:line="240" w:lineRule="atLeast"/>
              <w:ind w:left="1157" w:leftChars="257" w:hanging="540"/>
              <w:jc w:val="center"/>
              <w:rPr>
                <w:rFonts w:hint="eastAsia" w:hAnsi="宋体" w:cs="宋体"/>
                <w:color w:val="000000"/>
                <w:sz w:val="24"/>
                <w:szCs w:val="24"/>
                <w:highlight w:val="none"/>
              </w:rPr>
            </w:pPr>
          </w:p>
        </w:tc>
      </w:tr>
      <w:tr w14:paraId="21921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228" w:type="pct"/>
            <w:noWrap w:val="0"/>
            <w:vAlign w:val="center"/>
          </w:tcPr>
          <w:p w14:paraId="13ACFE63">
            <w:pPr>
              <w:pStyle w:val="23"/>
              <w:snapToGrid w:val="0"/>
              <w:spacing w:line="240" w:lineRule="atLeast"/>
              <w:jc w:val="both"/>
              <w:rPr>
                <w:rFonts w:hint="default" w:hAnsi="宋体" w:cs="宋体"/>
                <w:color w:val="000000"/>
                <w:sz w:val="24"/>
                <w:szCs w:val="24"/>
                <w:highlight w:val="none"/>
                <w:lang w:val="en-US" w:eastAsia="zh-CN"/>
              </w:rPr>
            </w:pPr>
            <w:r>
              <w:rPr>
                <w:rFonts w:hint="eastAsia" w:hAnsi="宋体" w:cs="宋体"/>
                <w:color w:val="000000"/>
                <w:sz w:val="24"/>
                <w:szCs w:val="24"/>
                <w:highlight w:val="none"/>
                <w:lang w:val="en-US" w:eastAsia="zh-CN"/>
              </w:rPr>
              <w:t>7</w:t>
            </w:r>
          </w:p>
        </w:tc>
        <w:tc>
          <w:tcPr>
            <w:tcW w:w="1055" w:type="pct"/>
            <w:shd w:val="clear" w:color="auto" w:fill="auto"/>
            <w:noWrap w:val="0"/>
            <w:vAlign w:val="center"/>
          </w:tcPr>
          <w:p w14:paraId="515C2F57">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医用吊塔</w:t>
            </w:r>
          </w:p>
        </w:tc>
        <w:tc>
          <w:tcPr>
            <w:tcW w:w="674" w:type="pct"/>
            <w:noWrap w:val="0"/>
            <w:vAlign w:val="center"/>
          </w:tcPr>
          <w:p w14:paraId="0B3DD7E7">
            <w:pPr>
              <w:pStyle w:val="23"/>
              <w:snapToGrid w:val="0"/>
              <w:spacing w:line="240" w:lineRule="atLeast"/>
              <w:ind w:firstLine="240" w:firstLineChars="100"/>
              <w:jc w:val="both"/>
              <w:rPr>
                <w:rFonts w:hint="default" w:hAnsi="宋体" w:cs="宋体" w:eastAsiaTheme="minorEastAsia"/>
                <w:color w:val="000000"/>
                <w:sz w:val="24"/>
                <w:szCs w:val="24"/>
                <w:highlight w:val="none"/>
                <w:lang w:val="en-US" w:eastAsia="zh-CN"/>
              </w:rPr>
            </w:pPr>
          </w:p>
        </w:tc>
        <w:tc>
          <w:tcPr>
            <w:tcW w:w="336" w:type="pct"/>
            <w:shd w:val="clear" w:color="auto" w:fill="auto"/>
            <w:noWrap w:val="0"/>
            <w:vAlign w:val="center"/>
          </w:tcPr>
          <w:p w14:paraId="51DAD0B6">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3</w:t>
            </w:r>
          </w:p>
        </w:tc>
        <w:tc>
          <w:tcPr>
            <w:tcW w:w="332" w:type="pct"/>
            <w:shd w:val="clear" w:color="auto" w:fill="auto"/>
            <w:noWrap w:val="0"/>
            <w:vAlign w:val="center"/>
          </w:tcPr>
          <w:p w14:paraId="67E4A871">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台</w:t>
            </w:r>
          </w:p>
        </w:tc>
        <w:tc>
          <w:tcPr>
            <w:tcW w:w="804" w:type="pct"/>
            <w:noWrap w:val="0"/>
            <w:vAlign w:val="center"/>
          </w:tcPr>
          <w:p w14:paraId="435F2B27">
            <w:pPr>
              <w:pStyle w:val="23"/>
              <w:snapToGrid w:val="0"/>
              <w:spacing w:line="240" w:lineRule="atLeast"/>
              <w:ind w:left="1157" w:leftChars="257" w:hanging="540"/>
              <w:jc w:val="center"/>
              <w:rPr>
                <w:rFonts w:hint="eastAsia" w:hAnsi="宋体" w:cs="宋体"/>
                <w:color w:val="000000"/>
                <w:sz w:val="24"/>
                <w:szCs w:val="24"/>
                <w:highlight w:val="none"/>
              </w:rPr>
            </w:pPr>
          </w:p>
        </w:tc>
        <w:tc>
          <w:tcPr>
            <w:tcW w:w="535" w:type="pct"/>
            <w:noWrap w:val="0"/>
            <w:vAlign w:val="center"/>
          </w:tcPr>
          <w:p w14:paraId="15E0B3ED">
            <w:pPr>
              <w:pStyle w:val="23"/>
              <w:snapToGrid w:val="0"/>
              <w:spacing w:line="240" w:lineRule="atLeast"/>
              <w:ind w:left="1157" w:leftChars="257" w:hanging="540"/>
              <w:jc w:val="center"/>
              <w:rPr>
                <w:rFonts w:hint="eastAsia" w:hAnsi="宋体" w:cs="宋体"/>
                <w:color w:val="000000"/>
                <w:sz w:val="24"/>
                <w:szCs w:val="24"/>
                <w:highlight w:val="none"/>
              </w:rPr>
            </w:pPr>
          </w:p>
        </w:tc>
        <w:tc>
          <w:tcPr>
            <w:tcW w:w="684" w:type="pct"/>
            <w:noWrap w:val="0"/>
            <w:vAlign w:val="center"/>
          </w:tcPr>
          <w:p w14:paraId="7DB84829">
            <w:pPr>
              <w:pStyle w:val="23"/>
              <w:snapToGrid w:val="0"/>
              <w:spacing w:line="240" w:lineRule="atLeast"/>
              <w:ind w:left="1157" w:leftChars="257" w:hanging="540"/>
              <w:jc w:val="center"/>
              <w:rPr>
                <w:rFonts w:hint="eastAsia" w:hAnsi="宋体" w:cs="宋体"/>
                <w:color w:val="000000"/>
                <w:sz w:val="24"/>
                <w:szCs w:val="24"/>
                <w:highlight w:val="none"/>
              </w:rPr>
            </w:pPr>
          </w:p>
        </w:tc>
        <w:tc>
          <w:tcPr>
            <w:tcW w:w="348" w:type="pct"/>
            <w:noWrap w:val="0"/>
            <w:vAlign w:val="center"/>
          </w:tcPr>
          <w:p w14:paraId="1BCE9FAC">
            <w:pPr>
              <w:pStyle w:val="23"/>
              <w:snapToGrid w:val="0"/>
              <w:spacing w:line="240" w:lineRule="atLeast"/>
              <w:ind w:left="1157" w:leftChars="257" w:hanging="540"/>
              <w:jc w:val="center"/>
              <w:rPr>
                <w:rFonts w:hint="eastAsia" w:hAnsi="宋体" w:cs="宋体"/>
                <w:color w:val="000000"/>
                <w:sz w:val="24"/>
                <w:szCs w:val="24"/>
                <w:highlight w:val="none"/>
              </w:rPr>
            </w:pPr>
          </w:p>
        </w:tc>
      </w:tr>
      <w:tr w14:paraId="51F91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jc w:val="center"/>
        </w:trPr>
        <w:tc>
          <w:tcPr>
            <w:tcW w:w="5000" w:type="pct"/>
            <w:gridSpan w:val="9"/>
            <w:noWrap w:val="0"/>
            <w:vAlign w:val="center"/>
          </w:tcPr>
          <w:p w14:paraId="224212AA">
            <w:pPr>
              <w:pStyle w:val="23"/>
              <w:snapToGrid w:val="0"/>
              <w:spacing w:line="240" w:lineRule="atLeast"/>
              <w:ind w:left="1157" w:leftChars="257" w:hanging="540"/>
              <w:jc w:val="center"/>
              <w:rPr>
                <w:rFonts w:hint="default" w:hAnsi="宋体" w:eastAsia="宋体" w:cs="宋体"/>
                <w:color w:val="000000"/>
                <w:sz w:val="24"/>
                <w:szCs w:val="24"/>
                <w:highlight w:val="none"/>
                <w:lang w:val="en-US" w:eastAsia="zh-CN"/>
              </w:rPr>
            </w:pPr>
            <w:r>
              <w:rPr>
                <w:rFonts w:hint="eastAsia" w:hAnsi="宋体" w:cs="宋体"/>
                <w:color w:val="000000"/>
                <w:sz w:val="24"/>
                <w:szCs w:val="24"/>
                <w:highlight w:val="none"/>
                <w:lang w:val="en-US" w:eastAsia="zh-CN"/>
              </w:rPr>
              <w:t>投标总报价：   元</w:t>
            </w:r>
          </w:p>
        </w:tc>
      </w:tr>
    </w:tbl>
    <w:p w14:paraId="321FBF59">
      <w:pPr>
        <w:spacing w:line="240" w:lineRule="exact"/>
        <w:rPr>
          <w:rFonts w:ascii="宋体" w:hAnsi="宋体" w:cs="宋体"/>
          <w:i w:val="0"/>
          <w:iCs w:val="0"/>
          <w:color w:val="auto"/>
          <w:highlight w:val="none"/>
        </w:rPr>
      </w:pPr>
    </w:p>
    <w:p w14:paraId="53B45285">
      <w:pPr>
        <w:pStyle w:val="7"/>
        <w:rPr>
          <w:rFonts w:ascii="宋体" w:hAnsi="宋体" w:cs="宋体"/>
          <w:i w:val="0"/>
          <w:iCs w:val="0"/>
          <w:color w:val="auto"/>
          <w:highlight w:val="none"/>
        </w:rPr>
      </w:pPr>
    </w:p>
    <w:p w14:paraId="759CCF41">
      <w:pPr>
        <w:pStyle w:val="22"/>
        <w:rPr>
          <w:rFonts w:ascii="宋体" w:hAnsi="宋体" w:cs="宋体"/>
          <w:i w:val="0"/>
          <w:iCs w:val="0"/>
          <w:color w:val="auto"/>
          <w:highlight w:val="none"/>
        </w:rPr>
      </w:pPr>
    </w:p>
    <w:p w14:paraId="24CF1C40">
      <w:pPr>
        <w:rPr>
          <w:rFonts w:ascii="宋体" w:hAnsi="宋体" w:cs="宋体"/>
          <w:i w:val="0"/>
          <w:iCs w:val="0"/>
          <w:color w:val="auto"/>
          <w:highlight w:val="none"/>
        </w:rPr>
      </w:pPr>
    </w:p>
    <w:p w14:paraId="35701629">
      <w:pPr>
        <w:rPr>
          <w:rFonts w:ascii="宋体" w:hAnsi="宋体" w:cs="宋体"/>
          <w:i w:val="0"/>
          <w:iCs w:val="0"/>
          <w:color w:val="auto"/>
          <w:highlight w:val="none"/>
        </w:rPr>
      </w:pPr>
    </w:p>
    <w:p w14:paraId="09589479">
      <w:pPr>
        <w:rPr>
          <w:rFonts w:ascii="宋体" w:hAnsi="宋体" w:cs="宋体"/>
          <w:i w:val="0"/>
          <w:iCs w:val="0"/>
          <w:color w:val="auto"/>
          <w:highlight w:val="none"/>
        </w:rPr>
      </w:pPr>
    </w:p>
    <w:p w14:paraId="3ACFB800">
      <w:pPr>
        <w:spacing w:line="480" w:lineRule="auto"/>
        <w:ind w:right="480" w:firstLine="360" w:firstLineChars="15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（加盖单位公章）</w:t>
      </w:r>
    </w:p>
    <w:p w14:paraId="56FDCAF3">
      <w:pPr>
        <w:spacing w:line="480" w:lineRule="auto"/>
        <w:ind w:right="48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 xml:space="preserve">   法定代表人(单位负责人)或其委托代理人：</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（签字或盖章）</w:t>
      </w:r>
    </w:p>
    <w:p w14:paraId="3002D27D">
      <w:pPr>
        <w:spacing w:line="480" w:lineRule="auto"/>
        <w:ind w:right="480"/>
        <w:rPr>
          <w:rFonts w:ascii="宋体" w:hAnsi="宋体" w:cs="宋体"/>
          <w:i w:val="0"/>
          <w:iCs w:val="0"/>
          <w:color w:val="auto"/>
          <w:sz w:val="24"/>
          <w:szCs w:val="24"/>
          <w:highlight w:val="none"/>
          <w:u w:val="single"/>
        </w:rPr>
      </w:pPr>
      <w:r>
        <w:rPr>
          <w:rFonts w:hint="eastAsia" w:ascii="宋体" w:hAnsi="宋体" w:cs="宋体"/>
          <w:i w:val="0"/>
          <w:iCs w:val="0"/>
          <w:color w:val="auto"/>
          <w:sz w:val="24"/>
          <w:szCs w:val="24"/>
          <w:highlight w:val="none"/>
        </w:rPr>
        <w:t xml:space="preserve">   日期：</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年</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月</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日</w:t>
      </w:r>
    </w:p>
    <w:p w14:paraId="515871AE">
      <w:pPr>
        <w:pStyle w:val="7"/>
        <w:rPr>
          <w:rFonts w:ascii="宋体" w:hAnsi="宋体" w:cs="宋体"/>
          <w:i w:val="0"/>
          <w:iCs w:val="0"/>
          <w:color w:val="auto"/>
          <w:highlight w:val="none"/>
        </w:rPr>
      </w:pPr>
    </w:p>
    <w:p w14:paraId="770113E7">
      <w:pPr>
        <w:spacing w:line="240" w:lineRule="exact"/>
        <w:rPr>
          <w:rFonts w:ascii="宋体" w:hAnsi="宋体" w:cs="宋体"/>
          <w:b/>
          <w:bCs/>
          <w:i w:val="0"/>
          <w:iCs w:val="0"/>
          <w:color w:val="auto"/>
          <w:sz w:val="44"/>
          <w:szCs w:val="44"/>
          <w:highlight w:val="none"/>
        </w:rPr>
      </w:pPr>
    </w:p>
    <w:p w14:paraId="7EBDA7CF">
      <w:pPr>
        <w:bidi w:val="0"/>
        <w:rPr>
          <w:rFonts w:hint="eastAsia" w:ascii="黑体" w:hAnsi="黑体" w:eastAsia="黑体" w:cs="黑体"/>
          <w:b/>
          <w:bCs/>
          <w:sz w:val="28"/>
          <w:szCs w:val="28"/>
        </w:rPr>
      </w:pPr>
      <w:bookmarkStart w:id="297" w:name="_Toc15277"/>
      <w:bookmarkEnd w:id="297"/>
      <w:bookmarkStart w:id="298" w:name="_Toc10610"/>
      <w:bookmarkEnd w:id="298"/>
      <w:bookmarkStart w:id="299" w:name="_Toc5779"/>
      <w:bookmarkEnd w:id="299"/>
      <w:bookmarkStart w:id="300" w:name="_Toc31405"/>
      <w:bookmarkStart w:id="301" w:name="_Toc23485"/>
      <w:bookmarkStart w:id="302" w:name="_Toc5344"/>
      <w:r>
        <w:rPr>
          <w:rFonts w:hint="eastAsia" w:ascii="黑体" w:hAnsi="黑体" w:eastAsia="黑体" w:cs="黑体"/>
          <w:b/>
          <w:bCs/>
          <w:sz w:val="28"/>
          <w:szCs w:val="28"/>
        </w:rPr>
        <w:t>格式</w:t>
      </w:r>
      <w:r>
        <w:rPr>
          <w:rFonts w:hint="eastAsia" w:ascii="黑体" w:hAnsi="黑体" w:eastAsia="黑体" w:cs="黑体"/>
          <w:b/>
          <w:bCs/>
          <w:sz w:val="28"/>
          <w:szCs w:val="28"/>
          <w:lang w:val="en-US" w:eastAsia="zh-CN"/>
        </w:rPr>
        <w:t>8</w:t>
      </w:r>
      <w:r>
        <w:rPr>
          <w:rFonts w:hint="eastAsia" w:ascii="黑体" w:hAnsi="黑体" w:eastAsia="黑体" w:cs="黑体"/>
          <w:b/>
          <w:bCs/>
          <w:sz w:val="28"/>
          <w:szCs w:val="28"/>
        </w:rPr>
        <w:t>：</w:t>
      </w:r>
      <w:bookmarkEnd w:id="300"/>
      <w:bookmarkEnd w:id="301"/>
    </w:p>
    <w:p w14:paraId="1D1B8182">
      <w:pPr>
        <w:rPr>
          <w:rFonts w:ascii="宋体" w:hAnsi="宋体" w:cs="宋体"/>
          <w:i w:val="0"/>
          <w:iCs w:val="0"/>
          <w:color w:val="auto"/>
          <w:highlight w:val="none"/>
        </w:rPr>
      </w:pPr>
    </w:p>
    <w:bookmarkEnd w:id="302"/>
    <w:p w14:paraId="211EFEC3">
      <w:pPr>
        <w:jc w:val="center"/>
        <w:rPr>
          <w:rFonts w:hint="default"/>
          <w:b/>
          <w:bCs/>
          <w:sz w:val="28"/>
          <w:szCs w:val="28"/>
          <w:lang w:val="en-US" w:eastAsia="zh-CN"/>
        </w:rPr>
      </w:pPr>
      <w:r>
        <w:rPr>
          <w:rFonts w:hint="eastAsia"/>
          <w:b/>
          <w:bCs/>
          <w:sz w:val="28"/>
          <w:szCs w:val="28"/>
          <w:lang w:val="en-US" w:eastAsia="zh-CN"/>
        </w:rPr>
        <w:t>项目实施及技术培训方案</w:t>
      </w:r>
    </w:p>
    <w:p w14:paraId="1110F663">
      <w:pPr>
        <w:autoSpaceDE w:val="0"/>
        <w:spacing w:line="360" w:lineRule="auto"/>
        <w:jc w:val="center"/>
        <w:rPr>
          <w:rFonts w:ascii="宋体" w:hAnsi="宋体" w:cs="宋体"/>
          <w:i w:val="0"/>
          <w:iCs w:val="0"/>
          <w:color w:val="auto"/>
          <w:highlight w:val="none"/>
        </w:rPr>
      </w:pPr>
      <w:bookmarkStart w:id="303" w:name="_Toc5548387"/>
      <w:r>
        <w:rPr>
          <w:rFonts w:hint="eastAsia" w:ascii="宋体" w:hAnsi="宋体" w:cs="宋体"/>
          <w:i w:val="0"/>
          <w:iCs w:val="0"/>
          <w:color w:val="auto"/>
          <w:sz w:val="24"/>
          <w:highlight w:val="none"/>
        </w:rPr>
        <w:t>(由投标人根据</w:t>
      </w:r>
      <w:r>
        <w:rPr>
          <w:rFonts w:hint="eastAsia" w:ascii="宋体" w:hAnsi="宋体" w:cs="宋体"/>
          <w:i w:val="0"/>
          <w:iCs w:val="0"/>
          <w:color w:val="auto"/>
          <w:sz w:val="24"/>
          <w:highlight w:val="none"/>
          <w:lang w:eastAsia="zh-CN"/>
        </w:rPr>
        <w:t>招标文件</w:t>
      </w:r>
      <w:r>
        <w:rPr>
          <w:rFonts w:hint="eastAsia" w:ascii="宋体" w:hAnsi="宋体" w:cs="宋体"/>
          <w:i w:val="0"/>
          <w:iCs w:val="0"/>
          <w:color w:val="auto"/>
          <w:sz w:val="24"/>
          <w:highlight w:val="none"/>
        </w:rPr>
        <w:t>要求及自身实际情况自行编写)</w:t>
      </w:r>
    </w:p>
    <w:p w14:paraId="7FC411E5">
      <w:pPr>
        <w:bidi w:val="0"/>
        <w:rPr>
          <w:rFonts w:hint="eastAsia" w:ascii="黑体" w:hAnsi="黑体" w:eastAsia="黑体" w:cs="黑体"/>
          <w:b/>
          <w:bCs/>
          <w:sz w:val="28"/>
          <w:szCs w:val="28"/>
        </w:rPr>
      </w:pPr>
      <w:bookmarkStart w:id="304" w:name="_Toc31090"/>
      <w:bookmarkStart w:id="305" w:name="_Toc32725"/>
      <w:r>
        <w:rPr>
          <w:rFonts w:hint="eastAsia" w:ascii="黑体" w:hAnsi="黑体" w:eastAsia="黑体" w:cs="黑体"/>
          <w:b/>
          <w:bCs/>
          <w:sz w:val="28"/>
          <w:szCs w:val="28"/>
        </w:rPr>
        <w:t>格式</w:t>
      </w:r>
      <w:r>
        <w:rPr>
          <w:rFonts w:hint="eastAsia" w:ascii="黑体" w:hAnsi="黑体" w:eastAsia="黑体" w:cs="黑体"/>
          <w:b/>
          <w:bCs/>
          <w:sz w:val="28"/>
          <w:szCs w:val="28"/>
          <w:lang w:val="en-US" w:eastAsia="zh-CN"/>
        </w:rPr>
        <w:t>9</w:t>
      </w:r>
      <w:r>
        <w:rPr>
          <w:rFonts w:hint="eastAsia" w:ascii="黑体" w:hAnsi="黑体" w:eastAsia="黑体" w:cs="黑体"/>
          <w:b/>
          <w:bCs/>
          <w:sz w:val="28"/>
          <w:szCs w:val="28"/>
        </w:rPr>
        <w:t>：</w:t>
      </w:r>
      <w:bookmarkEnd w:id="304"/>
      <w:bookmarkEnd w:id="305"/>
    </w:p>
    <w:p w14:paraId="4147D17D">
      <w:pPr>
        <w:rPr>
          <w:rFonts w:ascii="宋体" w:hAnsi="宋体" w:cs="宋体"/>
          <w:i w:val="0"/>
          <w:iCs w:val="0"/>
          <w:color w:val="auto"/>
          <w:highlight w:val="none"/>
        </w:rPr>
      </w:pPr>
    </w:p>
    <w:p w14:paraId="349A8D90">
      <w:pPr>
        <w:jc w:val="center"/>
        <w:rPr>
          <w:rFonts w:hint="eastAsia"/>
          <w:b/>
          <w:bCs/>
          <w:sz w:val="28"/>
          <w:szCs w:val="28"/>
          <w:lang w:val="en-US" w:eastAsia="zh-CN"/>
        </w:rPr>
      </w:pPr>
      <w:bookmarkStart w:id="306" w:name="_Toc10561"/>
      <w:r>
        <w:rPr>
          <w:rFonts w:hint="eastAsia"/>
          <w:b/>
          <w:bCs/>
          <w:sz w:val="28"/>
          <w:szCs w:val="28"/>
          <w:lang w:val="en-US" w:eastAsia="zh-CN"/>
        </w:rPr>
        <w:t>质量承诺及保证措施</w:t>
      </w:r>
      <w:bookmarkEnd w:id="306"/>
    </w:p>
    <w:p w14:paraId="2E77C11D">
      <w:pPr>
        <w:bidi w:val="0"/>
        <w:jc w:val="center"/>
        <w:rPr>
          <w:rFonts w:hint="eastAsia"/>
        </w:rPr>
      </w:pPr>
      <w:r>
        <w:rPr>
          <w:rFonts w:hint="eastAsia"/>
        </w:rPr>
        <w:t>(由投标人根据</w:t>
      </w:r>
      <w:r>
        <w:rPr>
          <w:rFonts w:hint="eastAsia"/>
          <w:lang w:eastAsia="zh-CN"/>
        </w:rPr>
        <w:t>招标文件</w:t>
      </w:r>
      <w:r>
        <w:rPr>
          <w:rFonts w:hint="eastAsia"/>
        </w:rPr>
        <w:t>要求及自身实际情况自行编写)</w:t>
      </w:r>
      <w:bookmarkStart w:id="307" w:name="_Toc9062"/>
      <w:bookmarkStart w:id="308" w:name="_Toc6046"/>
    </w:p>
    <w:p w14:paraId="599F091C">
      <w:pPr>
        <w:pStyle w:val="4"/>
        <w:widowControl/>
        <w:autoSpaceDE w:val="0"/>
        <w:spacing w:before="0" w:after="0" w:line="360" w:lineRule="auto"/>
        <w:jc w:val="both"/>
        <w:rPr>
          <w:rFonts w:hint="eastAsia" w:ascii="宋体" w:hAnsi="宋体" w:cs="宋体"/>
          <w:i w:val="0"/>
          <w:iCs w:val="0"/>
          <w:color w:val="auto"/>
          <w:sz w:val="24"/>
          <w:highlight w:val="none"/>
        </w:rPr>
      </w:pPr>
    </w:p>
    <w:p w14:paraId="22CB9109">
      <w:pPr>
        <w:bidi w:val="0"/>
        <w:rPr>
          <w:rFonts w:hint="eastAsia" w:ascii="黑体" w:hAnsi="黑体" w:eastAsia="黑体" w:cs="黑体"/>
          <w:b/>
          <w:bCs/>
          <w:sz w:val="28"/>
          <w:szCs w:val="28"/>
        </w:rPr>
      </w:pPr>
      <w:r>
        <w:rPr>
          <w:rFonts w:hint="eastAsia" w:ascii="黑体" w:hAnsi="黑体" w:eastAsia="黑体" w:cs="黑体"/>
          <w:b/>
          <w:bCs/>
          <w:sz w:val="28"/>
          <w:szCs w:val="28"/>
        </w:rPr>
        <w:t>格式</w:t>
      </w:r>
      <w:r>
        <w:rPr>
          <w:rFonts w:hint="eastAsia" w:ascii="黑体" w:hAnsi="黑体" w:eastAsia="黑体" w:cs="黑体"/>
          <w:b/>
          <w:bCs/>
          <w:sz w:val="28"/>
          <w:szCs w:val="28"/>
          <w:lang w:val="en-US" w:eastAsia="zh-CN"/>
        </w:rPr>
        <w:t>10</w:t>
      </w:r>
      <w:r>
        <w:rPr>
          <w:rFonts w:hint="eastAsia" w:ascii="黑体" w:hAnsi="黑体" w:eastAsia="黑体" w:cs="黑体"/>
          <w:b/>
          <w:bCs/>
          <w:sz w:val="28"/>
          <w:szCs w:val="28"/>
        </w:rPr>
        <w:t>：</w:t>
      </w:r>
      <w:bookmarkEnd w:id="307"/>
      <w:bookmarkEnd w:id="308"/>
    </w:p>
    <w:bookmarkEnd w:id="303"/>
    <w:p w14:paraId="39FD88B5">
      <w:pPr>
        <w:jc w:val="center"/>
        <w:rPr>
          <w:rFonts w:hint="eastAsia"/>
          <w:b/>
          <w:bCs/>
          <w:sz w:val="28"/>
          <w:szCs w:val="28"/>
          <w:lang w:val="en-US" w:eastAsia="zh-CN"/>
        </w:rPr>
      </w:pPr>
      <w:r>
        <w:rPr>
          <w:rFonts w:hint="eastAsia"/>
          <w:b/>
          <w:bCs/>
          <w:sz w:val="28"/>
          <w:szCs w:val="28"/>
          <w:lang w:val="en-US" w:eastAsia="zh-CN"/>
        </w:rPr>
        <w:t>售后服务方案</w:t>
      </w:r>
    </w:p>
    <w:p w14:paraId="2CAFCB96">
      <w:pPr>
        <w:jc w:val="center"/>
        <w:rPr>
          <w:rFonts w:hint="eastAsia" w:ascii="宋体" w:hAnsi="宋体" w:cs="宋体"/>
          <w:i w:val="0"/>
          <w:iCs w:val="0"/>
          <w:color w:val="auto"/>
          <w:highlight w:val="none"/>
        </w:rPr>
      </w:pPr>
      <w:r>
        <w:rPr>
          <w:rFonts w:hint="eastAsia" w:ascii="宋体" w:hAnsi="宋体" w:cs="宋体"/>
          <w:i w:val="0"/>
          <w:iCs w:val="0"/>
          <w:color w:val="auto"/>
          <w:sz w:val="24"/>
          <w:highlight w:val="none"/>
        </w:rPr>
        <w:t>(由投标人根据</w:t>
      </w:r>
      <w:r>
        <w:rPr>
          <w:rFonts w:hint="eastAsia" w:ascii="宋体" w:hAnsi="宋体" w:cs="宋体"/>
          <w:i w:val="0"/>
          <w:iCs w:val="0"/>
          <w:color w:val="auto"/>
          <w:sz w:val="24"/>
          <w:highlight w:val="none"/>
          <w:lang w:eastAsia="zh-CN"/>
        </w:rPr>
        <w:t>招标文件</w:t>
      </w:r>
      <w:r>
        <w:rPr>
          <w:rFonts w:hint="eastAsia" w:ascii="宋体" w:hAnsi="宋体" w:cs="宋体"/>
          <w:i w:val="0"/>
          <w:iCs w:val="0"/>
          <w:color w:val="auto"/>
          <w:sz w:val="24"/>
          <w:highlight w:val="none"/>
        </w:rPr>
        <w:t>要求及自身实际情况自行编写)</w:t>
      </w:r>
    </w:p>
    <w:p w14:paraId="60F900FD">
      <w:pPr>
        <w:bidi w:val="0"/>
        <w:rPr>
          <w:rFonts w:hint="eastAsia" w:ascii="黑体" w:hAnsi="黑体" w:eastAsia="黑体" w:cs="黑体"/>
          <w:b/>
          <w:bCs/>
          <w:sz w:val="28"/>
          <w:szCs w:val="28"/>
        </w:rPr>
      </w:pPr>
      <w:bookmarkStart w:id="309" w:name="_Toc4937"/>
      <w:bookmarkStart w:id="310" w:name="_Toc12958"/>
    </w:p>
    <w:p w14:paraId="70402EBA">
      <w:pPr>
        <w:bidi w:val="0"/>
        <w:rPr>
          <w:i w:val="0"/>
          <w:iCs w:val="0"/>
          <w:color w:val="auto"/>
          <w:highlight w:val="none"/>
        </w:rPr>
      </w:pPr>
      <w:r>
        <w:rPr>
          <w:rFonts w:hint="eastAsia" w:ascii="黑体" w:hAnsi="黑体" w:eastAsia="黑体" w:cs="黑体"/>
          <w:b/>
          <w:bCs/>
          <w:sz w:val="28"/>
          <w:szCs w:val="28"/>
        </w:rPr>
        <w:t>格式1</w:t>
      </w:r>
      <w:r>
        <w:rPr>
          <w:rFonts w:hint="eastAsia" w:ascii="黑体" w:hAnsi="黑体" w:eastAsia="黑体" w:cs="黑体"/>
          <w:b/>
          <w:bCs/>
          <w:sz w:val="28"/>
          <w:szCs w:val="28"/>
          <w:lang w:val="en-US" w:eastAsia="zh-CN"/>
        </w:rPr>
        <w:t>1</w:t>
      </w:r>
      <w:r>
        <w:rPr>
          <w:rFonts w:hint="eastAsia" w:ascii="黑体" w:hAnsi="黑体" w:eastAsia="黑体" w:cs="黑体"/>
          <w:b/>
          <w:bCs/>
          <w:sz w:val="28"/>
          <w:szCs w:val="28"/>
        </w:rPr>
        <w:t>：</w:t>
      </w:r>
      <w:bookmarkEnd w:id="309"/>
      <w:bookmarkEnd w:id="310"/>
    </w:p>
    <w:p w14:paraId="1CE0B5F2">
      <w:pPr>
        <w:jc w:val="center"/>
        <w:rPr>
          <w:rFonts w:hint="eastAsia"/>
          <w:b/>
          <w:bCs/>
          <w:sz w:val="28"/>
          <w:szCs w:val="28"/>
          <w:lang w:val="en-US" w:eastAsia="zh-CN"/>
        </w:rPr>
      </w:pPr>
      <w:bookmarkStart w:id="311" w:name="_Toc1840"/>
      <w:bookmarkStart w:id="312" w:name="_Toc1971"/>
      <w:r>
        <w:rPr>
          <w:rFonts w:hint="eastAsia"/>
          <w:b/>
          <w:bCs/>
          <w:sz w:val="28"/>
          <w:szCs w:val="28"/>
          <w:lang w:val="en-US" w:eastAsia="zh-CN"/>
        </w:rPr>
        <w:t>成功案例表</w:t>
      </w:r>
      <w:bookmarkEnd w:id="311"/>
      <w:bookmarkEnd w:id="312"/>
    </w:p>
    <w:tbl>
      <w:tblPr>
        <w:tblStyle w:val="47"/>
        <w:tblW w:w="99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2107"/>
        <w:gridCol w:w="1254"/>
        <w:gridCol w:w="1685"/>
        <w:gridCol w:w="1442"/>
        <w:gridCol w:w="1442"/>
        <w:gridCol w:w="1049"/>
      </w:tblGrid>
      <w:tr w14:paraId="3B5A1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977" w:type="dxa"/>
            <w:vAlign w:val="center"/>
          </w:tcPr>
          <w:p w14:paraId="5A108D2B">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序号</w:t>
            </w:r>
          </w:p>
        </w:tc>
        <w:tc>
          <w:tcPr>
            <w:tcW w:w="2107" w:type="dxa"/>
            <w:vAlign w:val="center"/>
          </w:tcPr>
          <w:p w14:paraId="0743F65B">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合同名称</w:t>
            </w:r>
          </w:p>
        </w:tc>
        <w:tc>
          <w:tcPr>
            <w:tcW w:w="1254" w:type="dxa"/>
            <w:vAlign w:val="center"/>
          </w:tcPr>
          <w:p w14:paraId="3F334D1F">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合同总价</w:t>
            </w:r>
          </w:p>
        </w:tc>
        <w:tc>
          <w:tcPr>
            <w:tcW w:w="1685" w:type="dxa"/>
            <w:vAlign w:val="center"/>
          </w:tcPr>
          <w:p w14:paraId="7C949B70">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使用单位名称</w:t>
            </w:r>
          </w:p>
        </w:tc>
        <w:tc>
          <w:tcPr>
            <w:tcW w:w="1442" w:type="dxa"/>
          </w:tcPr>
          <w:p w14:paraId="459C62E9">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使用单位联系人及联系电话</w:t>
            </w:r>
          </w:p>
        </w:tc>
        <w:tc>
          <w:tcPr>
            <w:tcW w:w="1442" w:type="dxa"/>
            <w:vAlign w:val="center"/>
          </w:tcPr>
          <w:p w14:paraId="0BAB393C">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签订合同时间</w:t>
            </w:r>
          </w:p>
        </w:tc>
        <w:tc>
          <w:tcPr>
            <w:tcW w:w="1049" w:type="dxa"/>
            <w:vAlign w:val="center"/>
          </w:tcPr>
          <w:p w14:paraId="59654679">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备注</w:t>
            </w:r>
          </w:p>
        </w:tc>
      </w:tr>
      <w:tr w14:paraId="00C05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7" w:type="dxa"/>
            <w:vAlign w:val="center"/>
          </w:tcPr>
          <w:p w14:paraId="3C5E082B">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1</w:t>
            </w:r>
          </w:p>
        </w:tc>
        <w:tc>
          <w:tcPr>
            <w:tcW w:w="2107" w:type="dxa"/>
            <w:vAlign w:val="center"/>
          </w:tcPr>
          <w:p w14:paraId="2B298D35">
            <w:pPr>
              <w:jc w:val="center"/>
              <w:rPr>
                <w:rFonts w:ascii="宋体" w:hAnsi="宋体" w:cs="宋体"/>
                <w:i w:val="0"/>
                <w:iCs w:val="0"/>
                <w:color w:val="auto"/>
                <w:sz w:val="24"/>
                <w:highlight w:val="none"/>
              </w:rPr>
            </w:pPr>
          </w:p>
        </w:tc>
        <w:tc>
          <w:tcPr>
            <w:tcW w:w="1254" w:type="dxa"/>
            <w:vAlign w:val="center"/>
          </w:tcPr>
          <w:p w14:paraId="611379F7">
            <w:pPr>
              <w:jc w:val="center"/>
              <w:rPr>
                <w:rFonts w:ascii="宋体" w:hAnsi="宋体" w:cs="宋体"/>
                <w:i w:val="0"/>
                <w:iCs w:val="0"/>
                <w:color w:val="auto"/>
                <w:sz w:val="24"/>
                <w:highlight w:val="none"/>
              </w:rPr>
            </w:pPr>
          </w:p>
        </w:tc>
        <w:tc>
          <w:tcPr>
            <w:tcW w:w="1685" w:type="dxa"/>
            <w:vAlign w:val="center"/>
          </w:tcPr>
          <w:p w14:paraId="373E741E">
            <w:pPr>
              <w:jc w:val="center"/>
              <w:rPr>
                <w:rFonts w:ascii="宋体" w:hAnsi="宋体" w:cs="宋体"/>
                <w:i w:val="0"/>
                <w:iCs w:val="0"/>
                <w:color w:val="auto"/>
                <w:sz w:val="24"/>
                <w:highlight w:val="none"/>
              </w:rPr>
            </w:pPr>
          </w:p>
        </w:tc>
        <w:tc>
          <w:tcPr>
            <w:tcW w:w="1442" w:type="dxa"/>
          </w:tcPr>
          <w:p w14:paraId="0097A501">
            <w:pPr>
              <w:jc w:val="center"/>
              <w:rPr>
                <w:rFonts w:ascii="宋体" w:hAnsi="宋体" w:cs="宋体"/>
                <w:i w:val="0"/>
                <w:iCs w:val="0"/>
                <w:color w:val="auto"/>
                <w:sz w:val="24"/>
                <w:highlight w:val="none"/>
              </w:rPr>
            </w:pPr>
          </w:p>
        </w:tc>
        <w:tc>
          <w:tcPr>
            <w:tcW w:w="1442" w:type="dxa"/>
            <w:vAlign w:val="center"/>
          </w:tcPr>
          <w:p w14:paraId="502D1E03">
            <w:pPr>
              <w:jc w:val="center"/>
              <w:rPr>
                <w:rFonts w:ascii="宋体" w:hAnsi="宋体" w:cs="宋体"/>
                <w:i w:val="0"/>
                <w:iCs w:val="0"/>
                <w:color w:val="auto"/>
                <w:sz w:val="24"/>
                <w:highlight w:val="none"/>
              </w:rPr>
            </w:pPr>
          </w:p>
        </w:tc>
        <w:tc>
          <w:tcPr>
            <w:tcW w:w="1049" w:type="dxa"/>
            <w:vAlign w:val="center"/>
          </w:tcPr>
          <w:p w14:paraId="3F6A2355">
            <w:pPr>
              <w:jc w:val="center"/>
              <w:rPr>
                <w:rFonts w:ascii="宋体" w:hAnsi="宋体" w:cs="宋体"/>
                <w:i w:val="0"/>
                <w:iCs w:val="0"/>
                <w:color w:val="auto"/>
                <w:sz w:val="24"/>
                <w:highlight w:val="none"/>
              </w:rPr>
            </w:pPr>
          </w:p>
        </w:tc>
      </w:tr>
      <w:tr w14:paraId="76BD8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7" w:type="dxa"/>
            <w:vAlign w:val="center"/>
          </w:tcPr>
          <w:p w14:paraId="0DFF20B9">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2</w:t>
            </w:r>
          </w:p>
        </w:tc>
        <w:tc>
          <w:tcPr>
            <w:tcW w:w="2107" w:type="dxa"/>
            <w:vAlign w:val="center"/>
          </w:tcPr>
          <w:p w14:paraId="6267F3AD">
            <w:pPr>
              <w:jc w:val="center"/>
              <w:rPr>
                <w:rFonts w:ascii="宋体" w:hAnsi="宋体" w:cs="宋体"/>
                <w:i w:val="0"/>
                <w:iCs w:val="0"/>
                <w:color w:val="auto"/>
                <w:sz w:val="24"/>
                <w:highlight w:val="none"/>
              </w:rPr>
            </w:pPr>
          </w:p>
        </w:tc>
        <w:tc>
          <w:tcPr>
            <w:tcW w:w="1254" w:type="dxa"/>
            <w:vAlign w:val="center"/>
          </w:tcPr>
          <w:p w14:paraId="28248AA8">
            <w:pPr>
              <w:jc w:val="center"/>
              <w:rPr>
                <w:rFonts w:ascii="宋体" w:hAnsi="宋体" w:cs="宋体"/>
                <w:i w:val="0"/>
                <w:iCs w:val="0"/>
                <w:color w:val="auto"/>
                <w:sz w:val="24"/>
                <w:highlight w:val="none"/>
              </w:rPr>
            </w:pPr>
          </w:p>
        </w:tc>
        <w:tc>
          <w:tcPr>
            <w:tcW w:w="1685" w:type="dxa"/>
            <w:vAlign w:val="center"/>
          </w:tcPr>
          <w:p w14:paraId="1ED3DABF">
            <w:pPr>
              <w:rPr>
                <w:rFonts w:ascii="宋体" w:hAnsi="宋体" w:cs="宋体"/>
                <w:i w:val="0"/>
                <w:iCs w:val="0"/>
                <w:color w:val="auto"/>
                <w:sz w:val="24"/>
                <w:highlight w:val="none"/>
              </w:rPr>
            </w:pPr>
            <w:r>
              <w:rPr>
                <w:rFonts w:hint="eastAsia" w:ascii="宋体" w:hAnsi="宋体" w:cs="宋体"/>
                <w:i w:val="0"/>
                <w:iCs w:val="0"/>
                <w:color w:val="auto"/>
                <w:sz w:val="24"/>
                <w:highlight w:val="none"/>
              </w:rPr>
              <w:t xml:space="preserve">      </w:t>
            </w:r>
          </w:p>
        </w:tc>
        <w:tc>
          <w:tcPr>
            <w:tcW w:w="1442" w:type="dxa"/>
          </w:tcPr>
          <w:p w14:paraId="6F6D19B0">
            <w:pPr>
              <w:jc w:val="center"/>
              <w:rPr>
                <w:rFonts w:ascii="宋体" w:hAnsi="宋体" w:cs="宋体"/>
                <w:i w:val="0"/>
                <w:iCs w:val="0"/>
                <w:color w:val="auto"/>
                <w:sz w:val="24"/>
                <w:highlight w:val="none"/>
              </w:rPr>
            </w:pPr>
          </w:p>
        </w:tc>
        <w:tc>
          <w:tcPr>
            <w:tcW w:w="1442" w:type="dxa"/>
            <w:vAlign w:val="center"/>
          </w:tcPr>
          <w:p w14:paraId="73A14057">
            <w:pPr>
              <w:jc w:val="center"/>
              <w:rPr>
                <w:rFonts w:ascii="宋体" w:hAnsi="宋体" w:cs="宋体"/>
                <w:i w:val="0"/>
                <w:iCs w:val="0"/>
                <w:color w:val="auto"/>
                <w:sz w:val="24"/>
                <w:highlight w:val="none"/>
              </w:rPr>
            </w:pPr>
          </w:p>
        </w:tc>
        <w:tc>
          <w:tcPr>
            <w:tcW w:w="1049" w:type="dxa"/>
            <w:vAlign w:val="center"/>
          </w:tcPr>
          <w:p w14:paraId="2A79904F">
            <w:pPr>
              <w:jc w:val="center"/>
              <w:rPr>
                <w:rFonts w:ascii="宋体" w:hAnsi="宋体" w:cs="宋体"/>
                <w:i w:val="0"/>
                <w:iCs w:val="0"/>
                <w:color w:val="auto"/>
                <w:sz w:val="24"/>
                <w:highlight w:val="none"/>
              </w:rPr>
            </w:pPr>
          </w:p>
        </w:tc>
      </w:tr>
      <w:tr w14:paraId="10720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7" w:type="dxa"/>
            <w:vAlign w:val="center"/>
          </w:tcPr>
          <w:p w14:paraId="0947D116">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3</w:t>
            </w:r>
          </w:p>
        </w:tc>
        <w:tc>
          <w:tcPr>
            <w:tcW w:w="2107" w:type="dxa"/>
            <w:vAlign w:val="center"/>
          </w:tcPr>
          <w:p w14:paraId="6637A6A3">
            <w:pPr>
              <w:jc w:val="center"/>
              <w:rPr>
                <w:rFonts w:ascii="宋体" w:hAnsi="宋体" w:cs="宋体"/>
                <w:i w:val="0"/>
                <w:iCs w:val="0"/>
                <w:color w:val="auto"/>
                <w:sz w:val="24"/>
                <w:highlight w:val="none"/>
              </w:rPr>
            </w:pPr>
          </w:p>
        </w:tc>
        <w:tc>
          <w:tcPr>
            <w:tcW w:w="1254" w:type="dxa"/>
            <w:vAlign w:val="center"/>
          </w:tcPr>
          <w:p w14:paraId="34B18711">
            <w:pPr>
              <w:jc w:val="center"/>
              <w:rPr>
                <w:rFonts w:ascii="宋体" w:hAnsi="宋体" w:cs="宋体"/>
                <w:i w:val="0"/>
                <w:iCs w:val="0"/>
                <w:color w:val="auto"/>
                <w:sz w:val="24"/>
                <w:highlight w:val="none"/>
              </w:rPr>
            </w:pPr>
          </w:p>
        </w:tc>
        <w:tc>
          <w:tcPr>
            <w:tcW w:w="1685" w:type="dxa"/>
            <w:vAlign w:val="center"/>
          </w:tcPr>
          <w:p w14:paraId="4A875A7F">
            <w:pPr>
              <w:jc w:val="center"/>
              <w:rPr>
                <w:rFonts w:ascii="宋体" w:hAnsi="宋体" w:cs="宋体"/>
                <w:i w:val="0"/>
                <w:iCs w:val="0"/>
                <w:color w:val="auto"/>
                <w:sz w:val="24"/>
                <w:highlight w:val="none"/>
              </w:rPr>
            </w:pPr>
          </w:p>
        </w:tc>
        <w:tc>
          <w:tcPr>
            <w:tcW w:w="1442" w:type="dxa"/>
          </w:tcPr>
          <w:p w14:paraId="1D94BDFD">
            <w:pPr>
              <w:jc w:val="center"/>
              <w:rPr>
                <w:rFonts w:ascii="宋体" w:hAnsi="宋体" w:cs="宋体"/>
                <w:i w:val="0"/>
                <w:iCs w:val="0"/>
                <w:color w:val="auto"/>
                <w:sz w:val="24"/>
                <w:highlight w:val="none"/>
              </w:rPr>
            </w:pPr>
          </w:p>
        </w:tc>
        <w:tc>
          <w:tcPr>
            <w:tcW w:w="1442" w:type="dxa"/>
            <w:vAlign w:val="center"/>
          </w:tcPr>
          <w:p w14:paraId="5D592F5A">
            <w:pPr>
              <w:jc w:val="center"/>
              <w:rPr>
                <w:rFonts w:ascii="宋体" w:hAnsi="宋体" w:cs="宋体"/>
                <w:i w:val="0"/>
                <w:iCs w:val="0"/>
                <w:color w:val="auto"/>
                <w:sz w:val="24"/>
                <w:highlight w:val="none"/>
              </w:rPr>
            </w:pPr>
          </w:p>
        </w:tc>
        <w:tc>
          <w:tcPr>
            <w:tcW w:w="1049" w:type="dxa"/>
            <w:vAlign w:val="center"/>
          </w:tcPr>
          <w:p w14:paraId="3CBF31DD">
            <w:pPr>
              <w:jc w:val="center"/>
              <w:rPr>
                <w:rFonts w:ascii="宋体" w:hAnsi="宋体" w:cs="宋体"/>
                <w:i w:val="0"/>
                <w:iCs w:val="0"/>
                <w:color w:val="auto"/>
                <w:sz w:val="24"/>
                <w:highlight w:val="none"/>
              </w:rPr>
            </w:pPr>
          </w:p>
        </w:tc>
      </w:tr>
      <w:tr w14:paraId="29FB8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7" w:type="dxa"/>
            <w:vAlign w:val="center"/>
          </w:tcPr>
          <w:p w14:paraId="0381D2C4">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4</w:t>
            </w:r>
          </w:p>
        </w:tc>
        <w:tc>
          <w:tcPr>
            <w:tcW w:w="2107" w:type="dxa"/>
            <w:vAlign w:val="center"/>
          </w:tcPr>
          <w:p w14:paraId="61424D9D">
            <w:pPr>
              <w:jc w:val="center"/>
              <w:rPr>
                <w:rFonts w:ascii="宋体" w:hAnsi="宋体" w:cs="宋体"/>
                <w:i w:val="0"/>
                <w:iCs w:val="0"/>
                <w:color w:val="auto"/>
                <w:sz w:val="24"/>
                <w:highlight w:val="none"/>
              </w:rPr>
            </w:pPr>
          </w:p>
        </w:tc>
        <w:tc>
          <w:tcPr>
            <w:tcW w:w="1254" w:type="dxa"/>
            <w:vAlign w:val="center"/>
          </w:tcPr>
          <w:p w14:paraId="40D9EF30">
            <w:pPr>
              <w:jc w:val="center"/>
              <w:rPr>
                <w:rFonts w:ascii="宋体" w:hAnsi="宋体" w:cs="宋体"/>
                <w:i w:val="0"/>
                <w:iCs w:val="0"/>
                <w:color w:val="auto"/>
                <w:sz w:val="24"/>
                <w:highlight w:val="none"/>
              </w:rPr>
            </w:pPr>
          </w:p>
        </w:tc>
        <w:tc>
          <w:tcPr>
            <w:tcW w:w="1685" w:type="dxa"/>
            <w:vAlign w:val="center"/>
          </w:tcPr>
          <w:p w14:paraId="2887E50C">
            <w:pPr>
              <w:jc w:val="center"/>
              <w:rPr>
                <w:rFonts w:ascii="宋体" w:hAnsi="宋体" w:cs="宋体"/>
                <w:i w:val="0"/>
                <w:iCs w:val="0"/>
                <w:color w:val="auto"/>
                <w:sz w:val="24"/>
                <w:highlight w:val="none"/>
              </w:rPr>
            </w:pPr>
          </w:p>
        </w:tc>
        <w:tc>
          <w:tcPr>
            <w:tcW w:w="1442" w:type="dxa"/>
          </w:tcPr>
          <w:p w14:paraId="0D41868B">
            <w:pPr>
              <w:jc w:val="center"/>
              <w:rPr>
                <w:rFonts w:ascii="宋体" w:hAnsi="宋体" w:cs="宋体"/>
                <w:i w:val="0"/>
                <w:iCs w:val="0"/>
                <w:color w:val="auto"/>
                <w:sz w:val="24"/>
                <w:highlight w:val="none"/>
              </w:rPr>
            </w:pPr>
          </w:p>
        </w:tc>
        <w:tc>
          <w:tcPr>
            <w:tcW w:w="1442" w:type="dxa"/>
            <w:vAlign w:val="center"/>
          </w:tcPr>
          <w:p w14:paraId="294C2036">
            <w:pPr>
              <w:jc w:val="center"/>
              <w:rPr>
                <w:rFonts w:ascii="宋体" w:hAnsi="宋体" w:cs="宋体"/>
                <w:i w:val="0"/>
                <w:iCs w:val="0"/>
                <w:color w:val="auto"/>
                <w:sz w:val="24"/>
                <w:highlight w:val="none"/>
              </w:rPr>
            </w:pPr>
          </w:p>
        </w:tc>
        <w:tc>
          <w:tcPr>
            <w:tcW w:w="1049" w:type="dxa"/>
            <w:vAlign w:val="center"/>
          </w:tcPr>
          <w:p w14:paraId="34660A80">
            <w:pPr>
              <w:jc w:val="center"/>
              <w:rPr>
                <w:rFonts w:ascii="宋体" w:hAnsi="宋体" w:cs="宋体"/>
                <w:i w:val="0"/>
                <w:iCs w:val="0"/>
                <w:color w:val="auto"/>
                <w:sz w:val="24"/>
                <w:highlight w:val="none"/>
              </w:rPr>
            </w:pPr>
          </w:p>
        </w:tc>
      </w:tr>
      <w:tr w14:paraId="155CD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7" w:type="dxa"/>
            <w:vAlign w:val="center"/>
          </w:tcPr>
          <w:p w14:paraId="3A3756A1">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5</w:t>
            </w:r>
          </w:p>
        </w:tc>
        <w:tc>
          <w:tcPr>
            <w:tcW w:w="2107" w:type="dxa"/>
            <w:vAlign w:val="center"/>
          </w:tcPr>
          <w:p w14:paraId="12728814">
            <w:pPr>
              <w:jc w:val="center"/>
              <w:rPr>
                <w:rFonts w:ascii="宋体" w:hAnsi="宋体" w:cs="宋体"/>
                <w:i w:val="0"/>
                <w:iCs w:val="0"/>
                <w:color w:val="auto"/>
                <w:sz w:val="24"/>
                <w:highlight w:val="none"/>
              </w:rPr>
            </w:pPr>
          </w:p>
        </w:tc>
        <w:tc>
          <w:tcPr>
            <w:tcW w:w="1254" w:type="dxa"/>
            <w:vAlign w:val="center"/>
          </w:tcPr>
          <w:p w14:paraId="0CE393AA">
            <w:pPr>
              <w:jc w:val="center"/>
              <w:rPr>
                <w:rFonts w:ascii="宋体" w:hAnsi="宋体" w:cs="宋体"/>
                <w:i w:val="0"/>
                <w:iCs w:val="0"/>
                <w:color w:val="auto"/>
                <w:sz w:val="24"/>
                <w:highlight w:val="none"/>
              </w:rPr>
            </w:pPr>
          </w:p>
        </w:tc>
        <w:tc>
          <w:tcPr>
            <w:tcW w:w="1685" w:type="dxa"/>
            <w:vAlign w:val="center"/>
          </w:tcPr>
          <w:p w14:paraId="1B241C60">
            <w:pPr>
              <w:jc w:val="center"/>
              <w:rPr>
                <w:rFonts w:ascii="宋体" w:hAnsi="宋体" w:cs="宋体"/>
                <w:i w:val="0"/>
                <w:iCs w:val="0"/>
                <w:color w:val="auto"/>
                <w:sz w:val="24"/>
                <w:highlight w:val="none"/>
              </w:rPr>
            </w:pPr>
          </w:p>
        </w:tc>
        <w:tc>
          <w:tcPr>
            <w:tcW w:w="1442" w:type="dxa"/>
          </w:tcPr>
          <w:p w14:paraId="64A12D09">
            <w:pPr>
              <w:jc w:val="center"/>
              <w:rPr>
                <w:rFonts w:ascii="宋体" w:hAnsi="宋体" w:cs="宋体"/>
                <w:i w:val="0"/>
                <w:iCs w:val="0"/>
                <w:color w:val="auto"/>
                <w:sz w:val="24"/>
                <w:highlight w:val="none"/>
              </w:rPr>
            </w:pPr>
          </w:p>
        </w:tc>
        <w:tc>
          <w:tcPr>
            <w:tcW w:w="1442" w:type="dxa"/>
            <w:vAlign w:val="center"/>
          </w:tcPr>
          <w:p w14:paraId="4C2EB303">
            <w:pPr>
              <w:jc w:val="center"/>
              <w:rPr>
                <w:rFonts w:ascii="宋体" w:hAnsi="宋体" w:cs="宋体"/>
                <w:i w:val="0"/>
                <w:iCs w:val="0"/>
                <w:color w:val="auto"/>
                <w:sz w:val="24"/>
                <w:highlight w:val="none"/>
              </w:rPr>
            </w:pPr>
          </w:p>
        </w:tc>
        <w:tc>
          <w:tcPr>
            <w:tcW w:w="1049" w:type="dxa"/>
            <w:vAlign w:val="center"/>
          </w:tcPr>
          <w:p w14:paraId="24BB50C5">
            <w:pPr>
              <w:jc w:val="center"/>
              <w:rPr>
                <w:rFonts w:ascii="宋体" w:hAnsi="宋体" w:cs="宋体"/>
                <w:i w:val="0"/>
                <w:iCs w:val="0"/>
                <w:color w:val="auto"/>
                <w:sz w:val="24"/>
                <w:highlight w:val="none"/>
              </w:rPr>
            </w:pPr>
          </w:p>
        </w:tc>
      </w:tr>
      <w:tr w14:paraId="71397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7" w:type="dxa"/>
            <w:vAlign w:val="center"/>
          </w:tcPr>
          <w:p w14:paraId="4FC51F2A">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w:t>
            </w:r>
          </w:p>
        </w:tc>
        <w:tc>
          <w:tcPr>
            <w:tcW w:w="2107" w:type="dxa"/>
            <w:vAlign w:val="center"/>
          </w:tcPr>
          <w:p w14:paraId="796C0C95">
            <w:pPr>
              <w:jc w:val="center"/>
              <w:rPr>
                <w:rFonts w:ascii="宋体" w:hAnsi="宋体" w:cs="宋体"/>
                <w:i w:val="0"/>
                <w:iCs w:val="0"/>
                <w:color w:val="auto"/>
                <w:sz w:val="24"/>
                <w:highlight w:val="none"/>
              </w:rPr>
            </w:pPr>
          </w:p>
        </w:tc>
        <w:tc>
          <w:tcPr>
            <w:tcW w:w="1254" w:type="dxa"/>
            <w:vAlign w:val="center"/>
          </w:tcPr>
          <w:p w14:paraId="6AE3B5A3">
            <w:pPr>
              <w:jc w:val="center"/>
              <w:rPr>
                <w:rFonts w:ascii="宋体" w:hAnsi="宋体" w:cs="宋体"/>
                <w:i w:val="0"/>
                <w:iCs w:val="0"/>
                <w:color w:val="auto"/>
                <w:sz w:val="24"/>
                <w:highlight w:val="none"/>
              </w:rPr>
            </w:pPr>
          </w:p>
        </w:tc>
        <w:tc>
          <w:tcPr>
            <w:tcW w:w="1685" w:type="dxa"/>
            <w:vAlign w:val="center"/>
          </w:tcPr>
          <w:p w14:paraId="6F7126DA">
            <w:pPr>
              <w:jc w:val="center"/>
              <w:rPr>
                <w:rFonts w:ascii="宋体" w:hAnsi="宋体" w:cs="宋体"/>
                <w:i w:val="0"/>
                <w:iCs w:val="0"/>
                <w:color w:val="auto"/>
                <w:sz w:val="24"/>
                <w:highlight w:val="none"/>
              </w:rPr>
            </w:pPr>
          </w:p>
        </w:tc>
        <w:tc>
          <w:tcPr>
            <w:tcW w:w="1442" w:type="dxa"/>
          </w:tcPr>
          <w:p w14:paraId="4A387970">
            <w:pPr>
              <w:jc w:val="center"/>
              <w:rPr>
                <w:rFonts w:ascii="宋体" w:hAnsi="宋体" w:cs="宋体"/>
                <w:i w:val="0"/>
                <w:iCs w:val="0"/>
                <w:color w:val="auto"/>
                <w:sz w:val="24"/>
                <w:highlight w:val="none"/>
              </w:rPr>
            </w:pPr>
          </w:p>
        </w:tc>
        <w:tc>
          <w:tcPr>
            <w:tcW w:w="1442" w:type="dxa"/>
            <w:vAlign w:val="center"/>
          </w:tcPr>
          <w:p w14:paraId="79BD383A">
            <w:pPr>
              <w:jc w:val="center"/>
              <w:rPr>
                <w:rFonts w:ascii="宋体" w:hAnsi="宋体" w:cs="宋体"/>
                <w:i w:val="0"/>
                <w:iCs w:val="0"/>
                <w:color w:val="auto"/>
                <w:sz w:val="24"/>
                <w:highlight w:val="none"/>
              </w:rPr>
            </w:pPr>
          </w:p>
        </w:tc>
        <w:tc>
          <w:tcPr>
            <w:tcW w:w="1049" w:type="dxa"/>
            <w:vAlign w:val="center"/>
          </w:tcPr>
          <w:p w14:paraId="4F79B683">
            <w:pPr>
              <w:jc w:val="center"/>
              <w:rPr>
                <w:rFonts w:ascii="宋体" w:hAnsi="宋体" w:cs="宋体"/>
                <w:i w:val="0"/>
                <w:iCs w:val="0"/>
                <w:color w:val="auto"/>
                <w:sz w:val="24"/>
                <w:highlight w:val="none"/>
              </w:rPr>
            </w:pPr>
          </w:p>
        </w:tc>
      </w:tr>
    </w:tbl>
    <w:p w14:paraId="444AF3B7">
      <w:pPr>
        <w:spacing w:before="120" w:beforeLines="50" w:line="360" w:lineRule="auto"/>
        <w:rPr>
          <w:rFonts w:ascii="宋体" w:hAnsi="宋体" w:cs="宋体"/>
          <w:b/>
          <w:i w:val="0"/>
          <w:iCs w:val="0"/>
          <w:color w:val="auto"/>
          <w:sz w:val="24"/>
          <w:highlight w:val="none"/>
        </w:rPr>
      </w:pPr>
      <w:r>
        <w:rPr>
          <w:rFonts w:hint="eastAsia" w:ascii="宋体" w:hAnsi="宋体" w:cs="宋体"/>
          <w:b/>
          <w:i w:val="0"/>
          <w:iCs w:val="0"/>
          <w:color w:val="auto"/>
          <w:sz w:val="24"/>
          <w:highlight w:val="none"/>
        </w:rPr>
        <w:t>注：</w:t>
      </w:r>
      <w:r>
        <w:rPr>
          <w:rFonts w:hint="eastAsia" w:ascii="宋体" w:hAnsi="宋体" w:cs="宋体"/>
          <w:b/>
          <w:i w:val="0"/>
          <w:iCs w:val="0"/>
          <w:color w:val="auto"/>
          <w:sz w:val="24"/>
          <w:highlight w:val="none"/>
          <w:lang w:val="en-US" w:eastAsia="zh-CN"/>
        </w:rPr>
        <w:t>提供</w:t>
      </w:r>
      <w:r>
        <w:rPr>
          <w:rFonts w:hint="eastAsia" w:ascii="宋体" w:hAnsi="宋体" w:cs="宋体"/>
          <w:b/>
          <w:i w:val="0"/>
          <w:iCs w:val="0"/>
          <w:color w:val="auto"/>
          <w:sz w:val="24"/>
          <w:highlight w:val="none"/>
        </w:rPr>
        <w:t>合同协议书或中标通知书或业主证明材料等有效证明材料复印件或扫描件加盖公章。</w:t>
      </w:r>
    </w:p>
    <w:p w14:paraId="31197F7A">
      <w:pPr>
        <w:spacing w:before="120" w:beforeLines="50" w:line="360" w:lineRule="auto"/>
        <w:rPr>
          <w:rFonts w:ascii="宋体" w:hAnsi="宋体" w:cs="宋体"/>
          <w:i w:val="0"/>
          <w:iCs w:val="0"/>
          <w:color w:val="auto"/>
          <w:sz w:val="24"/>
          <w:highlight w:val="none"/>
        </w:rPr>
      </w:pPr>
      <w:r>
        <w:rPr>
          <w:rFonts w:hint="eastAsia" w:ascii="宋体" w:hAnsi="宋体" w:cs="宋体"/>
          <w:i w:val="0"/>
          <w:iCs w:val="0"/>
          <w:color w:val="auto"/>
          <w:sz w:val="24"/>
          <w:szCs w:val="24"/>
          <w:highlight w:val="none"/>
        </w:rPr>
        <w:t xml:space="preserve">                                            </w:t>
      </w:r>
    </w:p>
    <w:p w14:paraId="2B75F4AD">
      <w:pPr>
        <w:pStyle w:val="7"/>
        <w:rPr>
          <w:rFonts w:ascii="宋体" w:hAnsi="宋体" w:cs="宋体"/>
          <w:i w:val="0"/>
          <w:iCs w:val="0"/>
          <w:color w:val="auto"/>
          <w:highlight w:val="none"/>
        </w:rPr>
      </w:pPr>
    </w:p>
    <w:p w14:paraId="0C88F7A4">
      <w:pPr>
        <w:spacing w:line="48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w:t>
      </w:r>
      <w:r>
        <w:rPr>
          <w:rFonts w:hint="eastAsia" w:ascii="宋体" w:hAnsi="宋体" w:cs="宋体"/>
          <w:i w:val="0"/>
          <w:iCs w:val="0"/>
          <w:color w:val="auto"/>
          <w:sz w:val="24"/>
          <w:szCs w:val="24"/>
          <w:highlight w:val="none"/>
          <w:u w:val="single"/>
        </w:rPr>
        <w:tab/>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(加盖单位公章)</w:t>
      </w:r>
    </w:p>
    <w:p w14:paraId="0A4934BF">
      <w:pPr>
        <w:spacing w:line="48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法定代表人(单位负责人)或其委托代理人：</w:t>
      </w:r>
      <w:r>
        <w:rPr>
          <w:rFonts w:hint="eastAsia" w:ascii="宋体" w:hAnsi="宋体" w:cs="宋体"/>
          <w:i w:val="0"/>
          <w:iCs w:val="0"/>
          <w:color w:val="auto"/>
          <w:sz w:val="24"/>
          <w:szCs w:val="24"/>
          <w:highlight w:val="none"/>
          <w:u w:val="single"/>
        </w:rPr>
        <w:tab/>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(签字或盖章)</w:t>
      </w:r>
    </w:p>
    <w:p w14:paraId="5FAC07A6">
      <w:pPr>
        <w:spacing w:line="48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日期：</w:t>
      </w:r>
      <w:r>
        <w:rPr>
          <w:rFonts w:hint="eastAsia" w:ascii="宋体" w:hAnsi="宋体" w:cs="宋体"/>
          <w:bCs/>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年</w:t>
      </w:r>
      <w:r>
        <w:rPr>
          <w:rFonts w:hint="eastAsia" w:ascii="宋体" w:hAnsi="宋体" w:cs="宋体"/>
          <w:bCs/>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月</w:t>
      </w:r>
      <w:r>
        <w:rPr>
          <w:rFonts w:hint="eastAsia" w:ascii="宋体" w:hAnsi="宋体" w:cs="宋体"/>
          <w:bCs/>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日</w:t>
      </w:r>
    </w:p>
    <w:p w14:paraId="01B4B7BC">
      <w:pPr>
        <w:bidi w:val="0"/>
        <w:rPr>
          <w:rFonts w:ascii="宋体" w:hAnsi="宋体" w:cs="宋体"/>
          <w:i w:val="0"/>
          <w:iCs w:val="0"/>
          <w:color w:val="auto"/>
          <w:sz w:val="28"/>
          <w:szCs w:val="28"/>
          <w:highlight w:val="none"/>
        </w:rPr>
      </w:pPr>
      <w:bookmarkStart w:id="313" w:name="_Toc12249"/>
      <w:bookmarkStart w:id="314" w:name="_Toc31949"/>
      <w:r>
        <w:rPr>
          <w:rFonts w:hint="eastAsia" w:ascii="黑体" w:hAnsi="黑体" w:eastAsia="黑体" w:cs="黑体"/>
          <w:b/>
          <w:bCs/>
          <w:sz w:val="28"/>
          <w:szCs w:val="28"/>
        </w:rPr>
        <w:t>格式1</w:t>
      </w:r>
      <w:r>
        <w:rPr>
          <w:rFonts w:hint="eastAsia" w:ascii="黑体" w:hAnsi="黑体" w:eastAsia="黑体" w:cs="黑体"/>
          <w:b/>
          <w:bCs/>
          <w:sz w:val="28"/>
          <w:szCs w:val="28"/>
          <w:lang w:val="en-US" w:eastAsia="zh-CN"/>
        </w:rPr>
        <w:t>2</w:t>
      </w:r>
      <w:r>
        <w:rPr>
          <w:rFonts w:hint="eastAsia" w:ascii="黑体" w:hAnsi="黑体" w:eastAsia="黑体" w:cs="黑体"/>
          <w:b/>
          <w:bCs/>
          <w:sz w:val="28"/>
          <w:szCs w:val="28"/>
        </w:rPr>
        <w:t>：</w:t>
      </w:r>
      <w:bookmarkEnd w:id="313"/>
      <w:bookmarkEnd w:id="314"/>
    </w:p>
    <w:p w14:paraId="4665A0A6">
      <w:pPr>
        <w:jc w:val="center"/>
        <w:rPr>
          <w:rFonts w:hint="eastAsia"/>
          <w:b/>
          <w:bCs/>
          <w:sz w:val="28"/>
          <w:szCs w:val="28"/>
          <w:lang w:val="en-US" w:eastAsia="zh-CN"/>
        </w:rPr>
      </w:pPr>
      <w:bookmarkStart w:id="315" w:name="_Toc27457"/>
      <w:bookmarkStart w:id="316" w:name="_Toc9409"/>
      <w:r>
        <w:rPr>
          <w:rFonts w:hint="eastAsia"/>
          <w:b/>
          <w:bCs/>
          <w:sz w:val="28"/>
          <w:szCs w:val="28"/>
          <w:lang w:val="en-US" w:eastAsia="zh-CN"/>
        </w:rPr>
        <w:t>其他资料</w:t>
      </w:r>
      <w:bookmarkEnd w:id="315"/>
      <w:bookmarkEnd w:id="316"/>
    </w:p>
    <w:p w14:paraId="54D73CE8">
      <w:pPr>
        <w:spacing w:before="120" w:beforeLines="50" w:line="360" w:lineRule="auto"/>
        <w:ind w:firstLine="720" w:firstLineChars="300"/>
        <w:rPr>
          <w:rFonts w:ascii="宋体" w:hAnsi="宋体" w:cs="宋体"/>
          <w:i w:val="0"/>
          <w:iCs w:val="0"/>
          <w:color w:val="auto"/>
          <w:sz w:val="24"/>
          <w:szCs w:val="24"/>
          <w:highlight w:val="none"/>
        </w:rPr>
      </w:pPr>
    </w:p>
    <w:p w14:paraId="36A124D6">
      <w:pPr>
        <w:spacing w:before="120" w:beforeLines="50" w:line="360" w:lineRule="auto"/>
        <w:ind w:firstLine="720" w:firstLineChars="3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w:t>
      </w:r>
      <w:r>
        <w:rPr>
          <w:rFonts w:hint="eastAsia" w:ascii="宋体" w:hAnsi="宋体" w:cs="宋体"/>
          <w:i w:val="0"/>
          <w:iCs w:val="0"/>
          <w:color w:val="auto"/>
          <w:sz w:val="24"/>
          <w:szCs w:val="24"/>
          <w:highlight w:val="none"/>
          <w:lang w:val="en-US" w:eastAsia="zh-CN"/>
        </w:rPr>
        <w:t>一</w:t>
      </w:r>
      <w:r>
        <w:rPr>
          <w:rFonts w:hint="eastAsia" w:ascii="宋体" w:hAnsi="宋体" w:cs="宋体"/>
          <w:i w:val="0"/>
          <w:iCs w:val="0"/>
          <w:color w:val="auto"/>
          <w:sz w:val="24"/>
          <w:szCs w:val="24"/>
          <w:highlight w:val="none"/>
        </w:rPr>
        <w:t>)</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要求提交的其他资料</w:t>
      </w:r>
    </w:p>
    <w:p w14:paraId="095AAB30">
      <w:pPr>
        <w:spacing w:before="120" w:beforeLines="50" w:line="360" w:lineRule="auto"/>
        <w:ind w:firstLine="720" w:firstLineChars="300"/>
        <w:rPr>
          <w:rFonts w:ascii="宋体" w:hAnsi="宋体" w:cs="宋体"/>
          <w:i w:val="0"/>
          <w:iCs w:val="0"/>
          <w:color w:val="auto"/>
          <w:highlight w:val="none"/>
        </w:rPr>
      </w:pPr>
      <w:r>
        <w:rPr>
          <w:rFonts w:hint="eastAsia" w:ascii="宋体" w:hAnsi="宋体" w:cs="宋体"/>
          <w:i w:val="0"/>
          <w:iCs w:val="0"/>
          <w:color w:val="auto"/>
          <w:sz w:val="24"/>
          <w:szCs w:val="24"/>
          <w:highlight w:val="none"/>
        </w:rPr>
        <w:t>(</w:t>
      </w:r>
      <w:r>
        <w:rPr>
          <w:rFonts w:hint="eastAsia" w:ascii="宋体" w:hAnsi="宋体" w:cs="宋体"/>
          <w:i w:val="0"/>
          <w:iCs w:val="0"/>
          <w:color w:val="auto"/>
          <w:sz w:val="24"/>
          <w:szCs w:val="24"/>
          <w:highlight w:val="none"/>
          <w:lang w:val="en-US" w:eastAsia="zh-CN"/>
        </w:rPr>
        <w:t>二</w:t>
      </w:r>
      <w:r>
        <w:rPr>
          <w:rFonts w:hint="eastAsia" w:ascii="宋体" w:hAnsi="宋体" w:cs="宋体"/>
          <w:i w:val="0"/>
          <w:iCs w:val="0"/>
          <w:color w:val="auto"/>
          <w:sz w:val="24"/>
          <w:szCs w:val="24"/>
          <w:highlight w:val="none"/>
        </w:rPr>
        <w:t>)投标人认为需要提交的其他资料</w:t>
      </w:r>
      <w:bookmarkStart w:id="317" w:name="_Toc12254"/>
      <w:bookmarkEnd w:id="317"/>
      <w:bookmarkStart w:id="318" w:name="_Toc468"/>
      <w:bookmarkEnd w:id="318"/>
    </w:p>
    <w:sectPr>
      <w:headerReference r:id="rId17" w:type="default"/>
      <w:footerReference r:id="rId18" w:type="default"/>
      <w:type w:val="nextColumn"/>
      <w:pgSz w:w="11906" w:h="16838"/>
      <w:pgMar w:top="1304" w:right="1304" w:bottom="1304" w:left="1304" w:header="737" w:footer="737" w:gutter="0"/>
      <w:pgNumType w:fmt="decimal"/>
      <w:cols w:space="72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Narrow">
    <w:altName w:val="Arial"/>
    <w:panose1 w:val="020B0606020202030204"/>
    <w:charset w:val="00"/>
    <w:family w:val="swiss"/>
    <w:pitch w:val="default"/>
    <w:sig w:usb0="00000000" w:usb1="00000000" w:usb2="00000000" w:usb3="00000000" w:csb0="2000009F" w:csb1="DFD70000"/>
  </w:font>
  <w:font w:name="+西文标题">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中文标题">
    <w:altName w:val="Segoe Print"/>
    <w:panose1 w:val="00000000000000000000"/>
    <w:charset w:val="00"/>
    <w:family w:val="auto"/>
    <w:pitch w:val="default"/>
    <w:sig w:usb0="00000000" w:usb1="00000000" w:usb2="00000000" w:usb3="00000000" w:csb0="00000000" w:csb1="00000000"/>
  </w:font>
  <w:font w:name="方正小标宋_GBK">
    <w:panose1 w:val="03000509000000000000"/>
    <w:charset w:val="86"/>
    <w:family w:val="auto"/>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
    <w:altName w:val="Times New Roman"/>
    <w:panose1 w:val="00000000000000000000"/>
    <w:charset w:val="00"/>
    <w:family w:val="roman"/>
    <w:pitch w:val="default"/>
    <w:sig w:usb0="00000000" w:usb1="00000000" w:usb2="00000000" w:usb3="00000000" w:csb0="0000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B0C88">
    <w:pPr>
      <w:pStyle w:val="29"/>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FA6566D">
                          <w:pPr>
                            <w:pStyle w:val="29"/>
                          </w:pPr>
                          <w:r>
                            <w:rPr>
                              <w:rFonts w:hint="eastAsia"/>
                            </w:rPr>
                            <w:fldChar w:fldCharType="begin"/>
                          </w:r>
                          <w:r>
                            <w:rPr>
                              <w:rFonts w:hint="eastAsia"/>
                            </w:rPr>
                            <w:instrText xml:space="preserve"> PAGE  \* MERGEFORMAT </w:instrText>
                          </w:r>
                          <w:r>
                            <w:rPr>
                              <w:rFonts w:hint="eastAsia"/>
                            </w:rPr>
                            <w:fldChar w:fldCharType="separate"/>
                          </w:r>
                          <w:r>
                            <w:t>- 30 -</w:t>
                          </w:r>
                          <w:r>
                            <w:rPr>
                              <w:rFonts w:hint="eastAsia"/>
                            </w:rPr>
                            <w:fldChar w:fldCharType="end"/>
                          </w:r>
                        </w:p>
                      </w:txbxContent>
                    </wps:txbx>
                    <wps:bodyPr wrap="none" lIns="0" tIns="0" rIns="0" bIns="0">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7QUX9MIBAACNAwAADgAAAGRycy9lMm9Eb2MueG1srVPNjtMwEL6vxDtY&#10;vlNnK4G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V1S4rjFgZ9//jj/ejw/fCdv&#10;sjx9gBqz7gLmpeG9H3BpZj+gM7MeVLT5i3wIxlHc00VcOSQi8qPVcrWqMCQwNl8Qnz09DxHSB+kt&#10;yUZDI06viMqPnyCNqXNKrub8rTamTNC4vxyImT0s9z72mK007IaJ0M63J+TT4+Ab6nDPKTEfHeqa&#10;d2Q24mzsJiPXgPDukLBw6SejjlBTMZxSYTRtVF6DP+8l6+kv2vw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O0FF/TCAQAAjQMAAA4AAAAAAAAAAQAgAAAAHgEAAGRycy9lMm9Eb2MueG1sUEsF&#10;BgAAAAAGAAYAWQEAAFIFAAAAAA==&#10;">
              <v:fill on="f" focussize="0,0"/>
              <v:stroke on="f"/>
              <v:imagedata o:title=""/>
              <o:lock v:ext="edit" aspectratio="f"/>
              <v:textbox inset="0mm,0mm,0mm,0mm" style="mso-fit-shape-to-text:t;">
                <w:txbxContent>
                  <w:p w14:paraId="1FA6566D">
                    <w:pPr>
                      <w:pStyle w:val="29"/>
                    </w:pPr>
                    <w:r>
                      <w:rPr>
                        <w:rFonts w:hint="eastAsia"/>
                      </w:rPr>
                      <w:fldChar w:fldCharType="begin"/>
                    </w:r>
                    <w:r>
                      <w:rPr>
                        <w:rFonts w:hint="eastAsia"/>
                      </w:rPr>
                      <w:instrText xml:space="preserve"> PAGE  \* MERGEFORMAT </w:instrText>
                    </w:r>
                    <w:r>
                      <w:rPr>
                        <w:rFonts w:hint="eastAsia"/>
                      </w:rPr>
                      <w:fldChar w:fldCharType="separate"/>
                    </w:r>
                    <w:r>
                      <w:t>- 30 -</w:t>
                    </w:r>
                    <w:r>
                      <w:rPr>
                        <w:rFonts w:hint="eastAsia"/>
                      </w:rPr>
                      <w:fldChar w:fldCharType="end"/>
                    </w:r>
                  </w:p>
                </w:txbxContent>
              </v:textbox>
            </v:shape>
          </w:pict>
        </mc:Fallback>
      </mc:AlternateContent>
    </w:r>
  </w:p>
  <w:p w14:paraId="20CDA6BA">
    <w:pPr>
      <w:pStyle w:val="29"/>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CFAC0D">
    <w:pPr>
      <w:pStyle w:val="29"/>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DBB06C">
                          <w:pPr>
                            <w:pStyle w:val="2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ADBB06C">
                    <w:pPr>
                      <w:pStyle w:val="2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A0944">
    <w:pPr>
      <w:pStyle w:val="2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4B3581">
    <w:pPr>
      <w:pStyle w:val="29"/>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AA4F65">
                          <w:pPr>
                            <w:pStyle w:val="2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7FAA4F65">
                    <w:pPr>
                      <w:pStyle w:val="2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9615D">
    <w:pPr>
      <w:pStyle w:val="29"/>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37A0E5">
                          <w:pPr>
                            <w:pStyle w:val="29"/>
                            <w:jc w:val="center"/>
                          </w:pPr>
                          <w:r>
                            <w:fldChar w:fldCharType="begin"/>
                          </w:r>
                          <w:r>
                            <w:instrText xml:space="preserve"> PAGE   \* MERGEFORMAT </w:instrText>
                          </w:r>
                          <w:r>
                            <w:fldChar w:fldCharType="separate"/>
                          </w:r>
                          <w:r>
                            <w:rPr>
                              <w:lang w:val="zh-CN"/>
                            </w:rPr>
                            <w:t>-</w:t>
                          </w:r>
                          <w:r>
                            <w:t xml:space="preserve"> 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3637A0E5">
                    <w:pPr>
                      <w:pStyle w:val="29"/>
                      <w:jc w:val="center"/>
                    </w:pPr>
                    <w:r>
                      <w:fldChar w:fldCharType="begin"/>
                    </w:r>
                    <w:r>
                      <w:instrText xml:space="preserve"> PAGE   \* MERGEFORMAT </w:instrText>
                    </w:r>
                    <w:r>
                      <w:fldChar w:fldCharType="separate"/>
                    </w:r>
                    <w:r>
                      <w:rPr>
                        <w:lang w:val="zh-CN"/>
                      </w:rPr>
                      <w:t>-</w:t>
                    </w:r>
                    <w:r>
                      <w:t xml:space="preserve"> 3 -</w:t>
                    </w:r>
                    <w:r>
                      <w:fldChar w:fldCharType="end"/>
                    </w:r>
                  </w:p>
                </w:txbxContent>
              </v:textbox>
            </v:shape>
          </w:pict>
        </mc:Fallback>
      </mc:AlternateContent>
    </w:r>
  </w:p>
  <w:p w14:paraId="4CA9C6E8">
    <w:pPr>
      <w:pStyle w:val="29"/>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D84FDD">
    <w:pPr>
      <w:pStyle w:val="29"/>
      <w:jc w:val="cente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D33C76">
                          <w:pPr>
                            <w:pStyle w:val="29"/>
                            <w:jc w:val="center"/>
                          </w:pPr>
                          <w:r>
                            <w:fldChar w:fldCharType="begin"/>
                          </w:r>
                          <w:r>
                            <w:instrText xml:space="preserve"> PAGE   \* MERGEFORMAT </w:instrText>
                          </w:r>
                          <w:r>
                            <w:fldChar w:fldCharType="separate"/>
                          </w:r>
                          <w:r>
                            <w:rPr>
                              <w:lang w:val="zh-CN"/>
                            </w:rPr>
                            <w:t>-</w:t>
                          </w:r>
                          <w:r>
                            <w:t xml:space="preserve">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22D33C76">
                    <w:pPr>
                      <w:pStyle w:val="29"/>
                      <w:jc w:val="center"/>
                    </w:pPr>
                    <w:r>
                      <w:fldChar w:fldCharType="begin"/>
                    </w:r>
                    <w:r>
                      <w:instrText xml:space="preserve"> PAGE   \* MERGEFORMAT </w:instrText>
                    </w:r>
                    <w:r>
                      <w:fldChar w:fldCharType="separate"/>
                    </w:r>
                    <w:r>
                      <w:rPr>
                        <w:lang w:val="zh-CN"/>
                      </w:rPr>
                      <w:t>-</w:t>
                    </w:r>
                    <w:r>
                      <w:t xml:space="preserve"> 1 -</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C3E376">
    <w:pPr>
      <w:pStyle w:val="29"/>
      <w:jc w:val="cente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A44495">
                          <w:pPr>
                            <w:pStyle w:val="29"/>
                            <w:jc w:val="center"/>
                          </w:pPr>
                          <w:r>
                            <w:fldChar w:fldCharType="begin"/>
                          </w:r>
                          <w:r>
                            <w:instrText xml:space="preserve"> PAGE   \* MERGEFORMAT </w:instrText>
                          </w:r>
                          <w:r>
                            <w:fldChar w:fldCharType="separate"/>
                          </w:r>
                          <w:r>
                            <w:rPr>
                              <w:lang w:val="zh-CN"/>
                            </w:rPr>
                            <w:t>-</w:t>
                          </w:r>
                          <w:r>
                            <w:t xml:space="preserve"> 31 -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48A44495">
                    <w:pPr>
                      <w:pStyle w:val="29"/>
                      <w:jc w:val="center"/>
                    </w:pPr>
                    <w:r>
                      <w:fldChar w:fldCharType="begin"/>
                    </w:r>
                    <w:r>
                      <w:instrText xml:space="preserve"> PAGE   \* MERGEFORMAT </w:instrText>
                    </w:r>
                    <w:r>
                      <w:fldChar w:fldCharType="separate"/>
                    </w:r>
                    <w:r>
                      <w:rPr>
                        <w:lang w:val="zh-CN"/>
                      </w:rPr>
                      <w:t>-</w:t>
                    </w:r>
                    <w:r>
                      <w:t xml:space="preserve"> 31 -</w:t>
                    </w:r>
                    <w:r>
                      <w:fldChar w:fldCharType="end"/>
                    </w:r>
                  </w:p>
                </w:txbxContent>
              </v:textbox>
            </v:shape>
          </w:pict>
        </mc:Fallback>
      </mc:AlternateContent>
    </w:r>
  </w:p>
  <w:p w14:paraId="58ABDB7B">
    <w:pPr>
      <w:pStyle w:val="7"/>
      <w:spacing w:line="14" w:lineRule="auto"/>
      <w:rPr>
        <w:sz w:val="20"/>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D00A3">
    <w:pPr>
      <w:pStyle w:val="29"/>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E7646C7">
                          <w:pPr>
                            <w:pStyle w:val="29"/>
                            <w:jc w:val="center"/>
                          </w:pPr>
                          <w:r>
                            <w:fldChar w:fldCharType="begin"/>
                          </w:r>
                          <w:r>
                            <w:instrText xml:space="preserve"> PAGE   \* MERGEFORMAT </w:instrText>
                          </w:r>
                          <w:r>
                            <w:fldChar w:fldCharType="separate"/>
                          </w:r>
                          <w:r>
                            <w:rPr>
                              <w:lang w:val="zh-CN"/>
                            </w:rPr>
                            <w:t>-</w:t>
                          </w:r>
                          <w:r>
                            <w:t xml:space="preserve"> 42 -</w:t>
                          </w:r>
                          <w:r>
                            <w:fldChar w:fldCharType="end"/>
                          </w:r>
                        </w:p>
                      </w:txbxContent>
                    </wps:txbx>
                    <wps:bodyPr wrap="none" lIns="0" tIns="0" rIns="0" bIns="0">
                      <a:spAutoFit/>
                    </wps:bodyPr>
                  </wps:wsp>
                </a:graphicData>
              </a:graphic>
            </wp:anchor>
          </w:drawing>
        </mc:Choice>
        <mc:Fallback>
          <w:pict>
            <v:shape id="文本框 17"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CYLnf/CAQAAjgMAAA4AAAAAAAAAAQAgAAAAHgEAAGRycy9lMm9Eb2MueG1sUEsF&#10;BgAAAAAGAAYAWQEAAFIFAAAAAA==&#10;">
              <v:fill on="f" focussize="0,0"/>
              <v:stroke on="f"/>
              <v:imagedata o:title=""/>
              <o:lock v:ext="edit" aspectratio="f"/>
              <v:textbox inset="0mm,0mm,0mm,0mm" style="mso-fit-shape-to-text:t;">
                <w:txbxContent>
                  <w:p w14:paraId="1E7646C7">
                    <w:pPr>
                      <w:pStyle w:val="29"/>
                      <w:jc w:val="center"/>
                    </w:pPr>
                    <w:r>
                      <w:fldChar w:fldCharType="begin"/>
                    </w:r>
                    <w:r>
                      <w:instrText xml:space="preserve"> PAGE   \* MERGEFORMAT </w:instrText>
                    </w:r>
                    <w:r>
                      <w:fldChar w:fldCharType="separate"/>
                    </w:r>
                    <w:r>
                      <w:rPr>
                        <w:lang w:val="zh-CN"/>
                      </w:rPr>
                      <w:t>-</w:t>
                    </w:r>
                    <w:r>
                      <w:t xml:space="preserve"> 42 -</w:t>
                    </w:r>
                    <w:r>
                      <w:fldChar w:fldCharType="end"/>
                    </w:r>
                  </w:p>
                </w:txbxContent>
              </v:textbox>
            </v:shape>
          </w:pict>
        </mc:Fallback>
      </mc:AlternateContent>
    </w:r>
  </w:p>
  <w:p w14:paraId="7D48C6A3">
    <w:pPr>
      <w:pStyle w:val="2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F1952">
    <w:pPr>
      <w:pStyle w:val="31"/>
      <w:pBdr>
        <w:bottom w:val="single" w:color="auto" w:sz="4" w:space="1"/>
      </w:pBdr>
      <w:jc w:val="both"/>
    </w:pPr>
    <w:r>
      <w:rPr>
        <w:rFonts w:hint="eastAsia" w:ascii="宋体" w:hAnsi="宋体"/>
        <w:sz w:val="44"/>
        <w:szCs w:val="44"/>
      </w:rPr>
      <w:drawing>
        <wp:inline distT="0" distB="0" distL="114300" distR="114300">
          <wp:extent cx="198755" cy="212725"/>
          <wp:effectExtent l="0" t="0" r="10795" b="15875"/>
          <wp:docPr id="5" name="图片 7" descr="透明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descr="透明logo"/>
                  <pic:cNvPicPr>
                    <a:picLocks noChangeAspect="1"/>
                  </pic:cNvPicPr>
                </pic:nvPicPr>
                <pic:blipFill>
                  <a:blip r:embed="rId1"/>
                  <a:stretch>
                    <a:fillRect/>
                  </a:stretch>
                </pic:blipFill>
                <pic:spPr>
                  <a:xfrm>
                    <a:off x="0" y="0"/>
                    <a:ext cx="198755" cy="212725"/>
                  </a:xfrm>
                  <a:prstGeom prst="rect">
                    <a:avLst/>
                  </a:prstGeom>
                  <a:noFill/>
                  <a:ln>
                    <a:noFill/>
                  </a:ln>
                </pic:spPr>
              </pic:pic>
            </a:graphicData>
          </a:graphic>
        </wp:inline>
      </w:drawing>
    </w:r>
    <w:r>
      <w:rPr>
        <w:rFonts w:hint="eastAsia" w:ascii="宋体" w:hAnsi="宋体"/>
        <w:b/>
        <w:bCs/>
        <w:sz w:val="21"/>
        <w:szCs w:val="21"/>
      </w:rPr>
      <w:t>云南元大工程咨询有限责任公司</w:t>
    </w:r>
    <w:r>
      <w:rPr>
        <w:rFonts w:hint="eastAsia"/>
        <w:b/>
        <w:bCs/>
        <w:sz w:val="21"/>
        <w:szCs w:val="21"/>
      </w:rPr>
      <w:t xml:space="preserve">                                                </w:t>
    </w:r>
    <w:r>
      <w:rPr>
        <w:rFonts w:hint="eastAsia" w:ascii="宋体" w:hAnsi="宋体"/>
        <w:b/>
        <w:bCs/>
        <w:color w:val="000000"/>
        <w:sz w:val="21"/>
        <w:szCs w:val="21"/>
        <w:lang w:eastAsia="zh-CN"/>
      </w:rPr>
      <w:t>招标文件</w:t>
    </w:r>
    <w:r>
      <w:rPr>
        <w:rFonts w:hint="eastAsia"/>
        <w:b/>
        <w:bCs/>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642AF">
    <w:pPr>
      <w:pStyle w:val="3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33A82">
    <w:pPr>
      <w:pStyle w:val="3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BF9EB">
    <w:pPr>
      <w:pStyle w:val="3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C16B8">
    <w:pPr>
      <w:pStyle w:val="31"/>
      <w:pBdr>
        <w:bottom w:val="single" w:color="auto" w:sz="4" w:space="1"/>
      </w:pBdr>
      <w:jc w:val="both"/>
    </w:pPr>
    <w:r>
      <w:rPr>
        <w:rFonts w:hint="eastAsia"/>
        <w:b/>
        <w:bCs/>
        <w:sz w:val="21"/>
        <w:szCs w:val="21"/>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314EF">
    <w:pPr>
      <w:pStyle w:val="31"/>
      <w:rPr>
        <w:rFonts w:hint="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6E887B"/>
    <w:multiLevelType w:val="singleLevel"/>
    <w:tmpl w:val="C16E887B"/>
    <w:lvl w:ilvl="0" w:tentative="0">
      <w:start w:val="1"/>
      <w:numFmt w:val="decimal"/>
      <w:suff w:val="nothing"/>
      <w:lvlText w:val="%1．"/>
      <w:lvlJc w:val="left"/>
      <w:pPr>
        <w:ind w:left="0" w:firstLine="400"/>
      </w:pPr>
      <w:rPr>
        <w:rFonts w:hint="default"/>
      </w:rPr>
    </w:lvl>
  </w:abstractNum>
  <w:abstractNum w:abstractNumId="1">
    <w:nsid w:val="C9035DF5"/>
    <w:multiLevelType w:val="singleLevel"/>
    <w:tmpl w:val="C9035DF5"/>
    <w:lvl w:ilvl="0" w:tentative="0">
      <w:start w:val="1"/>
      <w:numFmt w:val="decimal"/>
      <w:suff w:val="nothing"/>
      <w:lvlText w:val="%1．"/>
      <w:lvlJc w:val="left"/>
      <w:pPr>
        <w:ind w:left="0" w:firstLine="400"/>
      </w:pPr>
      <w:rPr>
        <w:rFonts w:hint="default"/>
      </w:rPr>
    </w:lvl>
  </w:abstractNum>
  <w:abstractNum w:abstractNumId="2">
    <w:nsid w:val="D2116502"/>
    <w:multiLevelType w:val="singleLevel"/>
    <w:tmpl w:val="D2116502"/>
    <w:lvl w:ilvl="0" w:tentative="0">
      <w:start w:val="1"/>
      <w:numFmt w:val="decimal"/>
      <w:suff w:val="nothing"/>
      <w:lvlText w:val="%1．"/>
      <w:lvlJc w:val="left"/>
      <w:pPr>
        <w:ind w:left="0" w:firstLine="400"/>
      </w:pPr>
      <w:rPr>
        <w:rFonts w:hint="default"/>
      </w:rPr>
    </w:lvl>
  </w:abstractNum>
  <w:abstractNum w:abstractNumId="3">
    <w:nsid w:val="D54E542A"/>
    <w:multiLevelType w:val="singleLevel"/>
    <w:tmpl w:val="D54E542A"/>
    <w:lvl w:ilvl="0" w:tentative="0">
      <w:start w:val="1"/>
      <w:numFmt w:val="decimal"/>
      <w:suff w:val="nothing"/>
      <w:lvlText w:val="%1．"/>
      <w:lvlJc w:val="left"/>
      <w:pPr>
        <w:ind w:left="0" w:firstLine="400"/>
      </w:pPr>
      <w:rPr>
        <w:rFonts w:hint="default"/>
      </w:rPr>
    </w:lvl>
  </w:abstractNum>
  <w:abstractNum w:abstractNumId="4">
    <w:nsid w:val="E6768E67"/>
    <w:multiLevelType w:val="singleLevel"/>
    <w:tmpl w:val="E6768E67"/>
    <w:lvl w:ilvl="0" w:tentative="0">
      <w:start w:val="4"/>
      <w:numFmt w:val="chineseCounting"/>
      <w:suff w:val="space"/>
      <w:lvlText w:val="第%1章"/>
      <w:lvlJc w:val="left"/>
      <w:rPr>
        <w:rFonts w:hint="eastAsia"/>
      </w:rPr>
    </w:lvl>
  </w:abstractNum>
  <w:abstractNum w:abstractNumId="5">
    <w:nsid w:val="0A10BCD7"/>
    <w:multiLevelType w:val="singleLevel"/>
    <w:tmpl w:val="0A10BCD7"/>
    <w:lvl w:ilvl="0" w:tentative="0">
      <w:start w:val="1"/>
      <w:numFmt w:val="decimal"/>
      <w:suff w:val="nothing"/>
      <w:lvlText w:val="%1．"/>
      <w:lvlJc w:val="left"/>
      <w:pPr>
        <w:ind w:left="0" w:firstLine="400"/>
      </w:pPr>
      <w:rPr>
        <w:rFonts w:hint="default"/>
      </w:rPr>
    </w:lvl>
  </w:abstractNum>
  <w:abstractNum w:abstractNumId="6">
    <w:nsid w:val="1CF80D43"/>
    <w:multiLevelType w:val="multilevel"/>
    <w:tmpl w:val="1CF80D43"/>
    <w:lvl w:ilvl="0" w:tentative="0">
      <w:start w:val="1"/>
      <w:numFmt w:val="chineseCountingThousand"/>
      <w:pStyle w:val="78"/>
      <w:lvlText w:val="第%1条"/>
      <w:lvlJc w:val="left"/>
      <w:pPr>
        <w:ind w:left="1696" w:hanging="420"/>
      </w:pPr>
      <w:rPr>
        <w:b/>
        <w:bCs/>
        <w:sz w:val="32"/>
        <w:szCs w:val="32"/>
        <w:lang w:val="en-US"/>
      </w:rPr>
    </w:lvl>
    <w:lvl w:ilvl="1" w:tentative="0">
      <w:start w:val="1"/>
      <w:numFmt w:val="chineseCountingThousand"/>
      <w:pStyle w:val="79"/>
      <w:suff w:val="nothing"/>
      <w:lvlText w:val="（%2）"/>
      <w:lvlJc w:val="left"/>
      <w:pPr>
        <w:ind w:left="1696"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2" w:tentative="0">
      <w:start w:val="1"/>
      <w:numFmt w:val="decimal"/>
      <w:suff w:val="nothing"/>
      <w:lvlText w:val="%3."/>
      <w:lvlJc w:val="left"/>
      <w:pPr>
        <w:ind w:left="4106" w:hanging="420"/>
      </w:pPr>
      <w:rPr>
        <w:rFonts w:hint="eastAsia"/>
      </w:rPr>
    </w:lvl>
    <w:lvl w:ilvl="3" w:tentative="0">
      <w:start w:val="1"/>
      <w:numFmt w:val="decimal"/>
      <w:suff w:val="nothing"/>
      <w:lvlText w:val="（%4）"/>
      <w:lvlJc w:val="left"/>
      <w:pPr>
        <w:ind w:left="3255" w:hanging="420"/>
      </w:pPr>
      <w:rPr>
        <w:rFonts w:hint="eastAsia"/>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7CE15FD"/>
    <w:multiLevelType w:val="singleLevel"/>
    <w:tmpl w:val="27CE15FD"/>
    <w:lvl w:ilvl="0" w:tentative="0">
      <w:start w:val="1"/>
      <w:numFmt w:val="decimal"/>
      <w:suff w:val="nothing"/>
      <w:lvlText w:val="%1．"/>
      <w:lvlJc w:val="left"/>
      <w:pPr>
        <w:ind w:left="0" w:firstLine="400"/>
      </w:pPr>
      <w:rPr>
        <w:rFonts w:hint="default"/>
      </w:rPr>
    </w:lvl>
  </w:abstractNum>
  <w:abstractNum w:abstractNumId="8">
    <w:nsid w:val="36759472"/>
    <w:multiLevelType w:val="singleLevel"/>
    <w:tmpl w:val="36759472"/>
    <w:lvl w:ilvl="0" w:tentative="0">
      <w:start w:val="1"/>
      <w:numFmt w:val="decimal"/>
      <w:suff w:val="nothing"/>
      <w:lvlText w:val="%1．"/>
      <w:lvlJc w:val="left"/>
      <w:pPr>
        <w:ind w:left="0" w:firstLine="400"/>
      </w:pPr>
      <w:rPr>
        <w:rFonts w:hint="default"/>
      </w:rPr>
    </w:lvl>
  </w:abstractNum>
  <w:abstractNum w:abstractNumId="9">
    <w:nsid w:val="3C4843C6"/>
    <w:multiLevelType w:val="multilevel"/>
    <w:tmpl w:val="3C4843C6"/>
    <w:lvl w:ilvl="0" w:tentative="0">
      <w:start w:val="1"/>
      <w:numFmt w:val="chineseCounting"/>
      <w:suff w:val="nothing"/>
      <w:lvlText w:val="%1、"/>
      <w:lvlJc w:val="left"/>
      <w:pPr>
        <w:ind w:left="0" w:firstLine="0"/>
      </w:pPr>
      <w:rPr>
        <w:rFonts w:hint="eastAsia" w:ascii="宋体" w:hAnsi="宋体" w:eastAsia="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6"/>
  </w:num>
  <w:num w:numId="2">
    <w:abstractNumId w:val="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8"/>
  </w:num>
  <w:num w:numId="7">
    <w:abstractNumId w:val="7"/>
  </w:num>
  <w:num w:numId="8">
    <w:abstractNumId w:val="1"/>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kZTcxMmU0ZTFmMGRmNmViYWM0N2M5NmE3NmZjOTcifQ=="/>
  </w:docVars>
  <w:rsids>
    <w:rsidRoot w:val="001A07FD"/>
    <w:rsid w:val="0000093D"/>
    <w:rsid w:val="000013B2"/>
    <w:rsid w:val="0000280E"/>
    <w:rsid w:val="00003AF9"/>
    <w:rsid w:val="00026825"/>
    <w:rsid w:val="00033965"/>
    <w:rsid w:val="000636B3"/>
    <w:rsid w:val="00086DB0"/>
    <w:rsid w:val="0009057F"/>
    <w:rsid w:val="0009094F"/>
    <w:rsid w:val="00091E0C"/>
    <w:rsid w:val="000B60B3"/>
    <w:rsid w:val="000B736F"/>
    <w:rsid w:val="000D0527"/>
    <w:rsid w:val="000F1A17"/>
    <w:rsid w:val="0011032D"/>
    <w:rsid w:val="001113BD"/>
    <w:rsid w:val="00113A00"/>
    <w:rsid w:val="001248AD"/>
    <w:rsid w:val="001254E6"/>
    <w:rsid w:val="00132C09"/>
    <w:rsid w:val="001404E2"/>
    <w:rsid w:val="00143A71"/>
    <w:rsid w:val="00145604"/>
    <w:rsid w:val="00160AFE"/>
    <w:rsid w:val="00172F05"/>
    <w:rsid w:val="00180065"/>
    <w:rsid w:val="00182CB0"/>
    <w:rsid w:val="00184416"/>
    <w:rsid w:val="0018624F"/>
    <w:rsid w:val="001A07FD"/>
    <w:rsid w:val="001A57DF"/>
    <w:rsid w:val="001B7434"/>
    <w:rsid w:val="001C40D0"/>
    <w:rsid w:val="001C5A7A"/>
    <w:rsid w:val="001D0362"/>
    <w:rsid w:val="001F0101"/>
    <w:rsid w:val="001F378B"/>
    <w:rsid w:val="00210AE4"/>
    <w:rsid w:val="00220B84"/>
    <w:rsid w:val="00223309"/>
    <w:rsid w:val="002235B9"/>
    <w:rsid w:val="002300FF"/>
    <w:rsid w:val="0024371E"/>
    <w:rsid w:val="002479CB"/>
    <w:rsid w:val="00253C2F"/>
    <w:rsid w:val="00284C13"/>
    <w:rsid w:val="00284F9D"/>
    <w:rsid w:val="002C3238"/>
    <w:rsid w:val="002C4F64"/>
    <w:rsid w:val="003027E9"/>
    <w:rsid w:val="00304734"/>
    <w:rsid w:val="00313329"/>
    <w:rsid w:val="00314021"/>
    <w:rsid w:val="00316780"/>
    <w:rsid w:val="00317818"/>
    <w:rsid w:val="00324338"/>
    <w:rsid w:val="0032491A"/>
    <w:rsid w:val="003347CA"/>
    <w:rsid w:val="003440E5"/>
    <w:rsid w:val="00346AC4"/>
    <w:rsid w:val="00350655"/>
    <w:rsid w:val="0036146A"/>
    <w:rsid w:val="00371BB6"/>
    <w:rsid w:val="0037632D"/>
    <w:rsid w:val="00376557"/>
    <w:rsid w:val="0037686C"/>
    <w:rsid w:val="00376EF1"/>
    <w:rsid w:val="003815C9"/>
    <w:rsid w:val="00396332"/>
    <w:rsid w:val="003B4871"/>
    <w:rsid w:val="003C43CE"/>
    <w:rsid w:val="003C6633"/>
    <w:rsid w:val="003E46C2"/>
    <w:rsid w:val="003E4C5A"/>
    <w:rsid w:val="00403F20"/>
    <w:rsid w:val="00412085"/>
    <w:rsid w:val="00417D20"/>
    <w:rsid w:val="0043280C"/>
    <w:rsid w:val="004425BF"/>
    <w:rsid w:val="00444818"/>
    <w:rsid w:val="004736E7"/>
    <w:rsid w:val="00483E43"/>
    <w:rsid w:val="004931AD"/>
    <w:rsid w:val="004A1EB8"/>
    <w:rsid w:val="004A479C"/>
    <w:rsid w:val="004E0863"/>
    <w:rsid w:val="004E7830"/>
    <w:rsid w:val="004F374F"/>
    <w:rsid w:val="004F7082"/>
    <w:rsid w:val="00500138"/>
    <w:rsid w:val="005100B2"/>
    <w:rsid w:val="005129C0"/>
    <w:rsid w:val="00517E50"/>
    <w:rsid w:val="00532176"/>
    <w:rsid w:val="0053218E"/>
    <w:rsid w:val="005336DE"/>
    <w:rsid w:val="005355A9"/>
    <w:rsid w:val="005406A3"/>
    <w:rsid w:val="00541891"/>
    <w:rsid w:val="00542A32"/>
    <w:rsid w:val="00543C59"/>
    <w:rsid w:val="00544644"/>
    <w:rsid w:val="005451A9"/>
    <w:rsid w:val="00552741"/>
    <w:rsid w:val="0055642A"/>
    <w:rsid w:val="00556688"/>
    <w:rsid w:val="00561368"/>
    <w:rsid w:val="005652C3"/>
    <w:rsid w:val="00572B7B"/>
    <w:rsid w:val="00575E83"/>
    <w:rsid w:val="00583614"/>
    <w:rsid w:val="00592494"/>
    <w:rsid w:val="005B0A72"/>
    <w:rsid w:val="005B0CD6"/>
    <w:rsid w:val="005B0DA8"/>
    <w:rsid w:val="005B176F"/>
    <w:rsid w:val="005B1967"/>
    <w:rsid w:val="005F0A9F"/>
    <w:rsid w:val="005F3402"/>
    <w:rsid w:val="005F3C8A"/>
    <w:rsid w:val="00603C45"/>
    <w:rsid w:val="006060A1"/>
    <w:rsid w:val="0061118B"/>
    <w:rsid w:val="00620900"/>
    <w:rsid w:val="006218B7"/>
    <w:rsid w:val="00622923"/>
    <w:rsid w:val="00630220"/>
    <w:rsid w:val="0063590D"/>
    <w:rsid w:val="00647332"/>
    <w:rsid w:val="006555ED"/>
    <w:rsid w:val="00662A3D"/>
    <w:rsid w:val="00670B46"/>
    <w:rsid w:val="0067520A"/>
    <w:rsid w:val="006842C0"/>
    <w:rsid w:val="00697996"/>
    <w:rsid w:val="006A37B6"/>
    <w:rsid w:val="006A5253"/>
    <w:rsid w:val="006A6C89"/>
    <w:rsid w:val="006B4E0D"/>
    <w:rsid w:val="006C2CED"/>
    <w:rsid w:val="006E30E2"/>
    <w:rsid w:val="007049B8"/>
    <w:rsid w:val="007055F0"/>
    <w:rsid w:val="00706979"/>
    <w:rsid w:val="00707FF5"/>
    <w:rsid w:val="00713280"/>
    <w:rsid w:val="00714FBD"/>
    <w:rsid w:val="00761E55"/>
    <w:rsid w:val="00765C80"/>
    <w:rsid w:val="00773916"/>
    <w:rsid w:val="00781A92"/>
    <w:rsid w:val="0078304B"/>
    <w:rsid w:val="00793D06"/>
    <w:rsid w:val="007A03FA"/>
    <w:rsid w:val="007A388B"/>
    <w:rsid w:val="007B4912"/>
    <w:rsid w:val="007C0520"/>
    <w:rsid w:val="007C49FC"/>
    <w:rsid w:val="007D7F61"/>
    <w:rsid w:val="007E6B6A"/>
    <w:rsid w:val="007F0F1D"/>
    <w:rsid w:val="007F545E"/>
    <w:rsid w:val="00802276"/>
    <w:rsid w:val="00803A82"/>
    <w:rsid w:val="00804D04"/>
    <w:rsid w:val="00805DC5"/>
    <w:rsid w:val="00816F9A"/>
    <w:rsid w:val="00820B56"/>
    <w:rsid w:val="00824069"/>
    <w:rsid w:val="0086358C"/>
    <w:rsid w:val="00863A5F"/>
    <w:rsid w:val="00865994"/>
    <w:rsid w:val="00867C15"/>
    <w:rsid w:val="008704DC"/>
    <w:rsid w:val="008766B4"/>
    <w:rsid w:val="008778B5"/>
    <w:rsid w:val="00877FA2"/>
    <w:rsid w:val="00883488"/>
    <w:rsid w:val="00883BC0"/>
    <w:rsid w:val="00886285"/>
    <w:rsid w:val="008872AB"/>
    <w:rsid w:val="0089329A"/>
    <w:rsid w:val="008940EB"/>
    <w:rsid w:val="008A1972"/>
    <w:rsid w:val="008A371A"/>
    <w:rsid w:val="008A3BDE"/>
    <w:rsid w:val="008B4472"/>
    <w:rsid w:val="008D4398"/>
    <w:rsid w:val="008D50BE"/>
    <w:rsid w:val="008D5F32"/>
    <w:rsid w:val="008E3717"/>
    <w:rsid w:val="008F45A8"/>
    <w:rsid w:val="008F6479"/>
    <w:rsid w:val="00905380"/>
    <w:rsid w:val="009077A2"/>
    <w:rsid w:val="009153A6"/>
    <w:rsid w:val="00916252"/>
    <w:rsid w:val="00921A67"/>
    <w:rsid w:val="00923C63"/>
    <w:rsid w:val="00924DC4"/>
    <w:rsid w:val="00926317"/>
    <w:rsid w:val="009325D0"/>
    <w:rsid w:val="00937F0E"/>
    <w:rsid w:val="009459BE"/>
    <w:rsid w:val="00956473"/>
    <w:rsid w:val="0096217F"/>
    <w:rsid w:val="0096667A"/>
    <w:rsid w:val="0097286B"/>
    <w:rsid w:val="009737CB"/>
    <w:rsid w:val="00984970"/>
    <w:rsid w:val="00984F6F"/>
    <w:rsid w:val="009913CF"/>
    <w:rsid w:val="009937CB"/>
    <w:rsid w:val="009A0CFE"/>
    <w:rsid w:val="009B0CB9"/>
    <w:rsid w:val="009B3FC3"/>
    <w:rsid w:val="009D1D60"/>
    <w:rsid w:val="009E04F1"/>
    <w:rsid w:val="009E18B7"/>
    <w:rsid w:val="009E6B52"/>
    <w:rsid w:val="009F4950"/>
    <w:rsid w:val="00A005EE"/>
    <w:rsid w:val="00A01025"/>
    <w:rsid w:val="00A05141"/>
    <w:rsid w:val="00A066DE"/>
    <w:rsid w:val="00A12ACE"/>
    <w:rsid w:val="00A1689C"/>
    <w:rsid w:val="00A36387"/>
    <w:rsid w:val="00A374F3"/>
    <w:rsid w:val="00A406DE"/>
    <w:rsid w:val="00A44FFF"/>
    <w:rsid w:val="00A5221A"/>
    <w:rsid w:val="00A60E65"/>
    <w:rsid w:val="00A73EA0"/>
    <w:rsid w:val="00A82B3B"/>
    <w:rsid w:val="00A82D96"/>
    <w:rsid w:val="00A94B72"/>
    <w:rsid w:val="00AA1C97"/>
    <w:rsid w:val="00AB1AE2"/>
    <w:rsid w:val="00AB2B53"/>
    <w:rsid w:val="00AC275C"/>
    <w:rsid w:val="00AC2A21"/>
    <w:rsid w:val="00AD4FFD"/>
    <w:rsid w:val="00AD5B8A"/>
    <w:rsid w:val="00AD7173"/>
    <w:rsid w:val="00AE3C91"/>
    <w:rsid w:val="00B27DDC"/>
    <w:rsid w:val="00B336B2"/>
    <w:rsid w:val="00B7266A"/>
    <w:rsid w:val="00B812CE"/>
    <w:rsid w:val="00B823A1"/>
    <w:rsid w:val="00BA43ED"/>
    <w:rsid w:val="00BA7955"/>
    <w:rsid w:val="00BB67C4"/>
    <w:rsid w:val="00BC072B"/>
    <w:rsid w:val="00BD205F"/>
    <w:rsid w:val="00BD73D1"/>
    <w:rsid w:val="00BD79AC"/>
    <w:rsid w:val="00BE424B"/>
    <w:rsid w:val="00BF19A4"/>
    <w:rsid w:val="00BF413C"/>
    <w:rsid w:val="00BF4B64"/>
    <w:rsid w:val="00BF7787"/>
    <w:rsid w:val="00C2257C"/>
    <w:rsid w:val="00C30981"/>
    <w:rsid w:val="00C34308"/>
    <w:rsid w:val="00C50141"/>
    <w:rsid w:val="00C52684"/>
    <w:rsid w:val="00C54D4B"/>
    <w:rsid w:val="00C57E14"/>
    <w:rsid w:val="00C61887"/>
    <w:rsid w:val="00C618D6"/>
    <w:rsid w:val="00C709C5"/>
    <w:rsid w:val="00C72BB8"/>
    <w:rsid w:val="00C76EB2"/>
    <w:rsid w:val="00C83164"/>
    <w:rsid w:val="00C95E2E"/>
    <w:rsid w:val="00C97F9F"/>
    <w:rsid w:val="00CA0651"/>
    <w:rsid w:val="00CC0B3B"/>
    <w:rsid w:val="00CC4709"/>
    <w:rsid w:val="00CD210C"/>
    <w:rsid w:val="00CE112A"/>
    <w:rsid w:val="00CF3A7F"/>
    <w:rsid w:val="00D000CB"/>
    <w:rsid w:val="00D0774B"/>
    <w:rsid w:val="00D27755"/>
    <w:rsid w:val="00D32812"/>
    <w:rsid w:val="00D34D63"/>
    <w:rsid w:val="00D71F18"/>
    <w:rsid w:val="00D85F24"/>
    <w:rsid w:val="00D9087C"/>
    <w:rsid w:val="00D97545"/>
    <w:rsid w:val="00DA5007"/>
    <w:rsid w:val="00DB4393"/>
    <w:rsid w:val="00DB5BC9"/>
    <w:rsid w:val="00DC61A4"/>
    <w:rsid w:val="00DE6281"/>
    <w:rsid w:val="00DF39AD"/>
    <w:rsid w:val="00E01963"/>
    <w:rsid w:val="00E037CC"/>
    <w:rsid w:val="00E04CED"/>
    <w:rsid w:val="00E0654D"/>
    <w:rsid w:val="00E44453"/>
    <w:rsid w:val="00E650D5"/>
    <w:rsid w:val="00E664C0"/>
    <w:rsid w:val="00E66887"/>
    <w:rsid w:val="00E777D2"/>
    <w:rsid w:val="00E80B8B"/>
    <w:rsid w:val="00E964D4"/>
    <w:rsid w:val="00EA04F9"/>
    <w:rsid w:val="00EA0909"/>
    <w:rsid w:val="00EA544A"/>
    <w:rsid w:val="00EB7CD2"/>
    <w:rsid w:val="00EC3D2E"/>
    <w:rsid w:val="00EC64F9"/>
    <w:rsid w:val="00ED0EE2"/>
    <w:rsid w:val="00ED0F81"/>
    <w:rsid w:val="00ED170D"/>
    <w:rsid w:val="00ED7AA1"/>
    <w:rsid w:val="00EE0BE4"/>
    <w:rsid w:val="00EF5289"/>
    <w:rsid w:val="00EF6E3F"/>
    <w:rsid w:val="00F02A39"/>
    <w:rsid w:val="00F036C9"/>
    <w:rsid w:val="00F04665"/>
    <w:rsid w:val="00F04FBF"/>
    <w:rsid w:val="00F144B7"/>
    <w:rsid w:val="00F62E9F"/>
    <w:rsid w:val="00F774D7"/>
    <w:rsid w:val="00F81B6B"/>
    <w:rsid w:val="00F87F19"/>
    <w:rsid w:val="00FB007A"/>
    <w:rsid w:val="00FC0C38"/>
    <w:rsid w:val="00FC43A1"/>
    <w:rsid w:val="00FC5FD0"/>
    <w:rsid w:val="00FC78B0"/>
    <w:rsid w:val="01025A37"/>
    <w:rsid w:val="010F2176"/>
    <w:rsid w:val="011533D3"/>
    <w:rsid w:val="0123601C"/>
    <w:rsid w:val="012757C8"/>
    <w:rsid w:val="01301ABF"/>
    <w:rsid w:val="01312018"/>
    <w:rsid w:val="014B30FA"/>
    <w:rsid w:val="01614141"/>
    <w:rsid w:val="0170087A"/>
    <w:rsid w:val="017E7299"/>
    <w:rsid w:val="01804876"/>
    <w:rsid w:val="01924330"/>
    <w:rsid w:val="01B914AF"/>
    <w:rsid w:val="01BA1962"/>
    <w:rsid w:val="01BD1C95"/>
    <w:rsid w:val="01C70C78"/>
    <w:rsid w:val="01CC6861"/>
    <w:rsid w:val="01EA2B5A"/>
    <w:rsid w:val="01F67A7F"/>
    <w:rsid w:val="01F7345C"/>
    <w:rsid w:val="0206745D"/>
    <w:rsid w:val="02140D77"/>
    <w:rsid w:val="021C1248"/>
    <w:rsid w:val="02290933"/>
    <w:rsid w:val="022C0194"/>
    <w:rsid w:val="022D4D30"/>
    <w:rsid w:val="023E7457"/>
    <w:rsid w:val="024240C0"/>
    <w:rsid w:val="02443EEB"/>
    <w:rsid w:val="024A1251"/>
    <w:rsid w:val="024B4F97"/>
    <w:rsid w:val="024C6635"/>
    <w:rsid w:val="024D21D6"/>
    <w:rsid w:val="02730192"/>
    <w:rsid w:val="027B2C88"/>
    <w:rsid w:val="027D4F23"/>
    <w:rsid w:val="028C75B5"/>
    <w:rsid w:val="02982166"/>
    <w:rsid w:val="02AC5A72"/>
    <w:rsid w:val="02B202C7"/>
    <w:rsid w:val="02B33D32"/>
    <w:rsid w:val="02D70E08"/>
    <w:rsid w:val="02DE47A8"/>
    <w:rsid w:val="02EA412F"/>
    <w:rsid w:val="02FF2EB3"/>
    <w:rsid w:val="030A2589"/>
    <w:rsid w:val="03130C9A"/>
    <w:rsid w:val="03157DC2"/>
    <w:rsid w:val="031B2CA5"/>
    <w:rsid w:val="03250248"/>
    <w:rsid w:val="032859C3"/>
    <w:rsid w:val="032B053F"/>
    <w:rsid w:val="033032BD"/>
    <w:rsid w:val="0332405E"/>
    <w:rsid w:val="03356E73"/>
    <w:rsid w:val="03406BAA"/>
    <w:rsid w:val="035F22B0"/>
    <w:rsid w:val="03600923"/>
    <w:rsid w:val="036602D3"/>
    <w:rsid w:val="037305EC"/>
    <w:rsid w:val="037449EB"/>
    <w:rsid w:val="037811F4"/>
    <w:rsid w:val="037D739A"/>
    <w:rsid w:val="039E140F"/>
    <w:rsid w:val="03A02E72"/>
    <w:rsid w:val="03A857A2"/>
    <w:rsid w:val="03AB51FA"/>
    <w:rsid w:val="03BE51E1"/>
    <w:rsid w:val="03C42873"/>
    <w:rsid w:val="03C42E3C"/>
    <w:rsid w:val="03CF7C4F"/>
    <w:rsid w:val="03E42333"/>
    <w:rsid w:val="03E54623"/>
    <w:rsid w:val="03E95A9C"/>
    <w:rsid w:val="03F8419B"/>
    <w:rsid w:val="03FC6040"/>
    <w:rsid w:val="04082A52"/>
    <w:rsid w:val="040B7076"/>
    <w:rsid w:val="040C5552"/>
    <w:rsid w:val="041D3B8B"/>
    <w:rsid w:val="041E6C38"/>
    <w:rsid w:val="04222C11"/>
    <w:rsid w:val="0425740B"/>
    <w:rsid w:val="042926A3"/>
    <w:rsid w:val="042D375A"/>
    <w:rsid w:val="04324C9F"/>
    <w:rsid w:val="0443383E"/>
    <w:rsid w:val="045D35D9"/>
    <w:rsid w:val="04654DC4"/>
    <w:rsid w:val="047667B8"/>
    <w:rsid w:val="047F280B"/>
    <w:rsid w:val="048164E5"/>
    <w:rsid w:val="049462DE"/>
    <w:rsid w:val="04A20E0C"/>
    <w:rsid w:val="04AE10EA"/>
    <w:rsid w:val="04C01C5A"/>
    <w:rsid w:val="04C072CD"/>
    <w:rsid w:val="04C26BF4"/>
    <w:rsid w:val="04C85125"/>
    <w:rsid w:val="04CC7C6B"/>
    <w:rsid w:val="04D15061"/>
    <w:rsid w:val="04D408DC"/>
    <w:rsid w:val="04D94F44"/>
    <w:rsid w:val="04DE2D9B"/>
    <w:rsid w:val="04E0584F"/>
    <w:rsid w:val="04E54D48"/>
    <w:rsid w:val="04E860AA"/>
    <w:rsid w:val="04E95B0A"/>
    <w:rsid w:val="04EC5FA1"/>
    <w:rsid w:val="04FC3C10"/>
    <w:rsid w:val="04FD22C2"/>
    <w:rsid w:val="05084F0D"/>
    <w:rsid w:val="050956C0"/>
    <w:rsid w:val="05187D21"/>
    <w:rsid w:val="053D376D"/>
    <w:rsid w:val="053E3BA1"/>
    <w:rsid w:val="054E4D41"/>
    <w:rsid w:val="057C061B"/>
    <w:rsid w:val="0580185D"/>
    <w:rsid w:val="059262F7"/>
    <w:rsid w:val="0596776E"/>
    <w:rsid w:val="059B5F8E"/>
    <w:rsid w:val="05A0049A"/>
    <w:rsid w:val="05AC4812"/>
    <w:rsid w:val="05AD77C3"/>
    <w:rsid w:val="05AE2D57"/>
    <w:rsid w:val="05C535A6"/>
    <w:rsid w:val="05D53592"/>
    <w:rsid w:val="05DF00ED"/>
    <w:rsid w:val="05F12C37"/>
    <w:rsid w:val="05FD2B10"/>
    <w:rsid w:val="05FD48BE"/>
    <w:rsid w:val="06035FB6"/>
    <w:rsid w:val="060D49F6"/>
    <w:rsid w:val="060D4BC6"/>
    <w:rsid w:val="063900CA"/>
    <w:rsid w:val="06431CCA"/>
    <w:rsid w:val="06557011"/>
    <w:rsid w:val="065A3F7A"/>
    <w:rsid w:val="06720437"/>
    <w:rsid w:val="06896484"/>
    <w:rsid w:val="068A084B"/>
    <w:rsid w:val="06A22ABD"/>
    <w:rsid w:val="06A2574F"/>
    <w:rsid w:val="06AC5AB4"/>
    <w:rsid w:val="06B97603"/>
    <w:rsid w:val="06C867AC"/>
    <w:rsid w:val="06DD56A8"/>
    <w:rsid w:val="06E43D08"/>
    <w:rsid w:val="070362DC"/>
    <w:rsid w:val="070619D4"/>
    <w:rsid w:val="07064C57"/>
    <w:rsid w:val="071161E4"/>
    <w:rsid w:val="07156355"/>
    <w:rsid w:val="071D0C28"/>
    <w:rsid w:val="072D5B54"/>
    <w:rsid w:val="07413064"/>
    <w:rsid w:val="074F7829"/>
    <w:rsid w:val="07562A93"/>
    <w:rsid w:val="076564ED"/>
    <w:rsid w:val="0766405F"/>
    <w:rsid w:val="076F426C"/>
    <w:rsid w:val="07746E01"/>
    <w:rsid w:val="07747A5D"/>
    <w:rsid w:val="077C6EA8"/>
    <w:rsid w:val="078523E2"/>
    <w:rsid w:val="07870AFB"/>
    <w:rsid w:val="07A1396F"/>
    <w:rsid w:val="07A3722F"/>
    <w:rsid w:val="07AC3018"/>
    <w:rsid w:val="07B16A3E"/>
    <w:rsid w:val="07B65F6B"/>
    <w:rsid w:val="07BE249F"/>
    <w:rsid w:val="07C846A8"/>
    <w:rsid w:val="07CA340E"/>
    <w:rsid w:val="07CC4EFF"/>
    <w:rsid w:val="07D13516"/>
    <w:rsid w:val="07D6114F"/>
    <w:rsid w:val="07DC0946"/>
    <w:rsid w:val="07DC2166"/>
    <w:rsid w:val="07DC322C"/>
    <w:rsid w:val="07E01099"/>
    <w:rsid w:val="07E64692"/>
    <w:rsid w:val="07F50C16"/>
    <w:rsid w:val="07F67978"/>
    <w:rsid w:val="07FB26AE"/>
    <w:rsid w:val="08065D90"/>
    <w:rsid w:val="08095CCE"/>
    <w:rsid w:val="08107DC8"/>
    <w:rsid w:val="081F03E2"/>
    <w:rsid w:val="08256F48"/>
    <w:rsid w:val="08317ECD"/>
    <w:rsid w:val="08365435"/>
    <w:rsid w:val="083E0654"/>
    <w:rsid w:val="084272AE"/>
    <w:rsid w:val="084B00ED"/>
    <w:rsid w:val="08533769"/>
    <w:rsid w:val="08847D87"/>
    <w:rsid w:val="088A5400"/>
    <w:rsid w:val="089A4BD1"/>
    <w:rsid w:val="089E56AF"/>
    <w:rsid w:val="08A1040D"/>
    <w:rsid w:val="08A96CD9"/>
    <w:rsid w:val="08B0009A"/>
    <w:rsid w:val="08BB6BFA"/>
    <w:rsid w:val="08BD3F4B"/>
    <w:rsid w:val="08C044A0"/>
    <w:rsid w:val="08C62846"/>
    <w:rsid w:val="08D22A7B"/>
    <w:rsid w:val="08D31006"/>
    <w:rsid w:val="08DB0795"/>
    <w:rsid w:val="08DE3382"/>
    <w:rsid w:val="08E05FDD"/>
    <w:rsid w:val="08EC649A"/>
    <w:rsid w:val="08EE2294"/>
    <w:rsid w:val="08F77C00"/>
    <w:rsid w:val="08F96B2F"/>
    <w:rsid w:val="08FB002A"/>
    <w:rsid w:val="08FB7D62"/>
    <w:rsid w:val="090C0F64"/>
    <w:rsid w:val="091F2158"/>
    <w:rsid w:val="092A2AC4"/>
    <w:rsid w:val="092B455A"/>
    <w:rsid w:val="0931207A"/>
    <w:rsid w:val="09344F53"/>
    <w:rsid w:val="093906D8"/>
    <w:rsid w:val="093E6C11"/>
    <w:rsid w:val="094D5E95"/>
    <w:rsid w:val="09521670"/>
    <w:rsid w:val="09575B61"/>
    <w:rsid w:val="09703AB9"/>
    <w:rsid w:val="09733FA3"/>
    <w:rsid w:val="09734004"/>
    <w:rsid w:val="0977168F"/>
    <w:rsid w:val="0981256E"/>
    <w:rsid w:val="09925E73"/>
    <w:rsid w:val="09994350"/>
    <w:rsid w:val="09AF7B3F"/>
    <w:rsid w:val="09C57CF0"/>
    <w:rsid w:val="09CD3D1B"/>
    <w:rsid w:val="09D83BE4"/>
    <w:rsid w:val="09F1006B"/>
    <w:rsid w:val="09F67F84"/>
    <w:rsid w:val="09F9316B"/>
    <w:rsid w:val="09FC34DE"/>
    <w:rsid w:val="0A0F779C"/>
    <w:rsid w:val="0A1474F4"/>
    <w:rsid w:val="0A183A20"/>
    <w:rsid w:val="0A1A4C7D"/>
    <w:rsid w:val="0A262B9A"/>
    <w:rsid w:val="0A28790D"/>
    <w:rsid w:val="0A2D01F0"/>
    <w:rsid w:val="0A3E1328"/>
    <w:rsid w:val="0A5371D6"/>
    <w:rsid w:val="0A553658"/>
    <w:rsid w:val="0A5707D6"/>
    <w:rsid w:val="0A6A65D8"/>
    <w:rsid w:val="0A810269"/>
    <w:rsid w:val="0A901F8B"/>
    <w:rsid w:val="0A9713FA"/>
    <w:rsid w:val="0A9B4110"/>
    <w:rsid w:val="0AAA1760"/>
    <w:rsid w:val="0AB24532"/>
    <w:rsid w:val="0ABA6138"/>
    <w:rsid w:val="0AC216A5"/>
    <w:rsid w:val="0AC50208"/>
    <w:rsid w:val="0AEB32E5"/>
    <w:rsid w:val="0AF107DD"/>
    <w:rsid w:val="0AF31380"/>
    <w:rsid w:val="0AF62D40"/>
    <w:rsid w:val="0B150E48"/>
    <w:rsid w:val="0B1835C3"/>
    <w:rsid w:val="0B1A2D41"/>
    <w:rsid w:val="0B1B3CE1"/>
    <w:rsid w:val="0B211BB0"/>
    <w:rsid w:val="0B217153"/>
    <w:rsid w:val="0B253A19"/>
    <w:rsid w:val="0B254E57"/>
    <w:rsid w:val="0B2A34DD"/>
    <w:rsid w:val="0B2C3ECB"/>
    <w:rsid w:val="0B3E081F"/>
    <w:rsid w:val="0B3F14BE"/>
    <w:rsid w:val="0B402E91"/>
    <w:rsid w:val="0B4603F4"/>
    <w:rsid w:val="0B4F1486"/>
    <w:rsid w:val="0B4F78FD"/>
    <w:rsid w:val="0B53032B"/>
    <w:rsid w:val="0B5516D7"/>
    <w:rsid w:val="0B562176"/>
    <w:rsid w:val="0B5E2A33"/>
    <w:rsid w:val="0B6338AF"/>
    <w:rsid w:val="0B684647"/>
    <w:rsid w:val="0B7B04BB"/>
    <w:rsid w:val="0B885EBC"/>
    <w:rsid w:val="0BAA52EB"/>
    <w:rsid w:val="0BB83C6F"/>
    <w:rsid w:val="0BCE7C92"/>
    <w:rsid w:val="0BD92501"/>
    <w:rsid w:val="0BE20F31"/>
    <w:rsid w:val="0BE2426F"/>
    <w:rsid w:val="0BF039C5"/>
    <w:rsid w:val="0BF72755"/>
    <w:rsid w:val="0C092397"/>
    <w:rsid w:val="0C093C66"/>
    <w:rsid w:val="0C190A0A"/>
    <w:rsid w:val="0C273E8E"/>
    <w:rsid w:val="0C312B42"/>
    <w:rsid w:val="0C367838"/>
    <w:rsid w:val="0C39708C"/>
    <w:rsid w:val="0C3C2F8D"/>
    <w:rsid w:val="0C3F6EAB"/>
    <w:rsid w:val="0C401919"/>
    <w:rsid w:val="0C4A232F"/>
    <w:rsid w:val="0C504988"/>
    <w:rsid w:val="0C5160B2"/>
    <w:rsid w:val="0C526B31"/>
    <w:rsid w:val="0C556C9B"/>
    <w:rsid w:val="0C5A3BCF"/>
    <w:rsid w:val="0C5B40D7"/>
    <w:rsid w:val="0C5E27AC"/>
    <w:rsid w:val="0CA20475"/>
    <w:rsid w:val="0CA97251"/>
    <w:rsid w:val="0CBE5BE1"/>
    <w:rsid w:val="0CD4198E"/>
    <w:rsid w:val="0CE137CF"/>
    <w:rsid w:val="0CF47059"/>
    <w:rsid w:val="0CF66726"/>
    <w:rsid w:val="0D1E25D7"/>
    <w:rsid w:val="0D262447"/>
    <w:rsid w:val="0D330BC5"/>
    <w:rsid w:val="0D3416CE"/>
    <w:rsid w:val="0D3700C7"/>
    <w:rsid w:val="0D3B7FF1"/>
    <w:rsid w:val="0D422962"/>
    <w:rsid w:val="0D423EAE"/>
    <w:rsid w:val="0D464A33"/>
    <w:rsid w:val="0D55791C"/>
    <w:rsid w:val="0D644F58"/>
    <w:rsid w:val="0D743B02"/>
    <w:rsid w:val="0D756FB8"/>
    <w:rsid w:val="0D7D3E0F"/>
    <w:rsid w:val="0D914310"/>
    <w:rsid w:val="0D9F1C65"/>
    <w:rsid w:val="0DA01161"/>
    <w:rsid w:val="0DC62517"/>
    <w:rsid w:val="0DCC7C72"/>
    <w:rsid w:val="0DCD3C64"/>
    <w:rsid w:val="0DD40E63"/>
    <w:rsid w:val="0DD40EBD"/>
    <w:rsid w:val="0DD84CEF"/>
    <w:rsid w:val="0DDC547B"/>
    <w:rsid w:val="0DE5268F"/>
    <w:rsid w:val="0DE649BE"/>
    <w:rsid w:val="0DE82542"/>
    <w:rsid w:val="0DF13CCD"/>
    <w:rsid w:val="0E056209"/>
    <w:rsid w:val="0E0E67B9"/>
    <w:rsid w:val="0E1123EC"/>
    <w:rsid w:val="0E11373C"/>
    <w:rsid w:val="0E256B16"/>
    <w:rsid w:val="0E2727E3"/>
    <w:rsid w:val="0E2A37B2"/>
    <w:rsid w:val="0E317099"/>
    <w:rsid w:val="0E3A792E"/>
    <w:rsid w:val="0E4002A5"/>
    <w:rsid w:val="0E611528"/>
    <w:rsid w:val="0E6A4C34"/>
    <w:rsid w:val="0E6C6D1E"/>
    <w:rsid w:val="0E851E45"/>
    <w:rsid w:val="0E85404C"/>
    <w:rsid w:val="0E895B7F"/>
    <w:rsid w:val="0E8D60ED"/>
    <w:rsid w:val="0E9249D8"/>
    <w:rsid w:val="0E9B0F0B"/>
    <w:rsid w:val="0EA40291"/>
    <w:rsid w:val="0EAE2040"/>
    <w:rsid w:val="0EC55FD7"/>
    <w:rsid w:val="0ECB69EA"/>
    <w:rsid w:val="0ECF6F75"/>
    <w:rsid w:val="0ED1559A"/>
    <w:rsid w:val="0ED242D2"/>
    <w:rsid w:val="0EDD61F6"/>
    <w:rsid w:val="0EDF0476"/>
    <w:rsid w:val="0EE17975"/>
    <w:rsid w:val="0EF60443"/>
    <w:rsid w:val="0EF673FA"/>
    <w:rsid w:val="0EFD73A4"/>
    <w:rsid w:val="0F096DD6"/>
    <w:rsid w:val="0F0C4B1B"/>
    <w:rsid w:val="0F0C4F27"/>
    <w:rsid w:val="0F0D6C3B"/>
    <w:rsid w:val="0F0F5460"/>
    <w:rsid w:val="0F2426C9"/>
    <w:rsid w:val="0F264FE7"/>
    <w:rsid w:val="0F29227F"/>
    <w:rsid w:val="0F3375A2"/>
    <w:rsid w:val="0F541C73"/>
    <w:rsid w:val="0F6B12D9"/>
    <w:rsid w:val="0F701CDC"/>
    <w:rsid w:val="0F78273C"/>
    <w:rsid w:val="0F795242"/>
    <w:rsid w:val="0F7958FE"/>
    <w:rsid w:val="0F7A6F7F"/>
    <w:rsid w:val="0F7C5C0D"/>
    <w:rsid w:val="0F7E2DA4"/>
    <w:rsid w:val="0F80697A"/>
    <w:rsid w:val="0F836E93"/>
    <w:rsid w:val="0F841580"/>
    <w:rsid w:val="0F844F0D"/>
    <w:rsid w:val="0F8B052B"/>
    <w:rsid w:val="0F8C6010"/>
    <w:rsid w:val="0F934158"/>
    <w:rsid w:val="0F94341D"/>
    <w:rsid w:val="0F946B48"/>
    <w:rsid w:val="0F987BB1"/>
    <w:rsid w:val="0F9A32A5"/>
    <w:rsid w:val="0FAC0D64"/>
    <w:rsid w:val="0FAD2F6D"/>
    <w:rsid w:val="0FAE25F2"/>
    <w:rsid w:val="0FB056A7"/>
    <w:rsid w:val="0FB1037C"/>
    <w:rsid w:val="0FB52782"/>
    <w:rsid w:val="0FDD2A1C"/>
    <w:rsid w:val="0FDE37A4"/>
    <w:rsid w:val="100752D2"/>
    <w:rsid w:val="100D6A7B"/>
    <w:rsid w:val="10192D3D"/>
    <w:rsid w:val="102021E8"/>
    <w:rsid w:val="10207D16"/>
    <w:rsid w:val="10247495"/>
    <w:rsid w:val="102A70A8"/>
    <w:rsid w:val="102E6AA2"/>
    <w:rsid w:val="103247B3"/>
    <w:rsid w:val="103E61FE"/>
    <w:rsid w:val="1042731E"/>
    <w:rsid w:val="104E7F92"/>
    <w:rsid w:val="1050587F"/>
    <w:rsid w:val="105A7962"/>
    <w:rsid w:val="10602134"/>
    <w:rsid w:val="1061150C"/>
    <w:rsid w:val="10736BDE"/>
    <w:rsid w:val="10744371"/>
    <w:rsid w:val="108B6996"/>
    <w:rsid w:val="108E0E73"/>
    <w:rsid w:val="10A839CA"/>
    <w:rsid w:val="10AA0A9A"/>
    <w:rsid w:val="10AF655B"/>
    <w:rsid w:val="10B35443"/>
    <w:rsid w:val="10B42DEB"/>
    <w:rsid w:val="10B74703"/>
    <w:rsid w:val="10C84DEB"/>
    <w:rsid w:val="10DA4B72"/>
    <w:rsid w:val="10E0563D"/>
    <w:rsid w:val="10E073EA"/>
    <w:rsid w:val="10E17D24"/>
    <w:rsid w:val="10E43BA9"/>
    <w:rsid w:val="10E62609"/>
    <w:rsid w:val="10E70020"/>
    <w:rsid w:val="10E873B2"/>
    <w:rsid w:val="10F93FE9"/>
    <w:rsid w:val="110000F0"/>
    <w:rsid w:val="110A705A"/>
    <w:rsid w:val="111E393A"/>
    <w:rsid w:val="112D5A17"/>
    <w:rsid w:val="112F6737"/>
    <w:rsid w:val="11303ECA"/>
    <w:rsid w:val="11445071"/>
    <w:rsid w:val="11446424"/>
    <w:rsid w:val="114E1F90"/>
    <w:rsid w:val="115B2D88"/>
    <w:rsid w:val="11641B0A"/>
    <w:rsid w:val="11750C39"/>
    <w:rsid w:val="117B4074"/>
    <w:rsid w:val="118636BA"/>
    <w:rsid w:val="118834E8"/>
    <w:rsid w:val="11896031"/>
    <w:rsid w:val="118B3031"/>
    <w:rsid w:val="11942705"/>
    <w:rsid w:val="11995E1B"/>
    <w:rsid w:val="11A4793D"/>
    <w:rsid w:val="11AD3799"/>
    <w:rsid w:val="11B87529"/>
    <w:rsid w:val="11BF38FA"/>
    <w:rsid w:val="11C52008"/>
    <w:rsid w:val="11C853CD"/>
    <w:rsid w:val="11DC3895"/>
    <w:rsid w:val="11DE1389"/>
    <w:rsid w:val="11DF3EF9"/>
    <w:rsid w:val="11E4127E"/>
    <w:rsid w:val="11E5640E"/>
    <w:rsid w:val="11E57B67"/>
    <w:rsid w:val="11F26B4B"/>
    <w:rsid w:val="1205792B"/>
    <w:rsid w:val="120650CA"/>
    <w:rsid w:val="12220F12"/>
    <w:rsid w:val="12347D50"/>
    <w:rsid w:val="12383670"/>
    <w:rsid w:val="124368EB"/>
    <w:rsid w:val="12611A06"/>
    <w:rsid w:val="12623504"/>
    <w:rsid w:val="12651482"/>
    <w:rsid w:val="126A757D"/>
    <w:rsid w:val="127E2986"/>
    <w:rsid w:val="127F79EB"/>
    <w:rsid w:val="12802B6B"/>
    <w:rsid w:val="12854777"/>
    <w:rsid w:val="12A0561E"/>
    <w:rsid w:val="12A66205"/>
    <w:rsid w:val="12B641AF"/>
    <w:rsid w:val="12D36C4C"/>
    <w:rsid w:val="12D73B1B"/>
    <w:rsid w:val="12D926AB"/>
    <w:rsid w:val="12E77F91"/>
    <w:rsid w:val="12EA1900"/>
    <w:rsid w:val="12F37627"/>
    <w:rsid w:val="12F4251D"/>
    <w:rsid w:val="13010F83"/>
    <w:rsid w:val="131514D9"/>
    <w:rsid w:val="13170A24"/>
    <w:rsid w:val="13195AB9"/>
    <w:rsid w:val="13225654"/>
    <w:rsid w:val="132E43B5"/>
    <w:rsid w:val="133F55C4"/>
    <w:rsid w:val="13490205"/>
    <w:rsid w:val="13651747"/>
    <w:rsid w:val="136B4523"/>
    <w:rsid w:val="13714672"/>
    <w:rsid w:val="13722AF6"/>
    <w:rsid w:val="137746F5"/>
    <w:rsid w:val="13934B68"/>
    <w:rsid w:val="13982333"/>
    <w:rsid w:val="139B2426"/>
    <w:rsid w:val="139E05E7"/>
    <w:rsid w:val="13A825CD"/>
    <w:rsid w:val="13A9004F"/>
    <w:rsid w:val="13BA604F"/>
    <w:rsid w:val="13C72262"/>
    <w:rsid w:val="13D50017"/>
    <w:rsid w:val="13DD188A"/>
    <w:rsid w:val="13E57E1F"/>
    <w:rsid w:val="13FA3627"/>
    <w:rsid w:val="13FB5036"/>
    <w:rsid w:val="140D4429"/>
    <w:rsid w:val="140E57F5"/>
    <w:rsid w:val="14105F14"/>
    <w:rsid w:val="141D1969"/>
    <w:rsid w:val="14237BE5"/>
    <w:rsid w:val="143305F2"/>
    <w:rsid w:val="14353C17"/>
    <w:rsid w:val="14363ACC"/>
    <w:rsid w:val="143A427F"/>
    <w:rsid w:val="144514C5"/>
    <w:rsid w:val="144D6FE9"/>
    <w:rsid w:val="1456780D"/>
    <w:rsid w:val="14567BA9"/>
    <w:rsid w:val="145C1151"/>
    <w:rsid w:val="145F5E47"/>
    <w:rsid w:val="14625014"/>
    <w:rsid w:val="1464065A"/>
    <w:rsid w:val="1466789B"/>
    <w:rsid w:val="146733DC"/>
    <w:rsid w:val="146F301B"/>
    <w:rsid w:val="1475076A"/>
    <w:rsid w:val="147C16AC"/>
    <w:rsid w:val="14825309"/>
    <w:rsid w:val="1486370F"/>
    <w:rsid w:val="14903CC0"/>
    <w:rsid w:val="14A93723"/>
    <w:rsid w:val="14C64188"/>
    <w:rsid w:val="14D312C2"/>
    <w:rsid w:val="14E21B45"/>
    <w:rsid w:val="14EE28E4"/>
    <w:rsid w:val="14FE1835"/>
    <w:rsid w:val="15052123"/>
    <w:rsid w:val="15083589"/>
    <w:rsid w:val="1509549D"/>
    <w:rsid w:val="150B284B"/>
    <w:rsid w:val="15176DD2"/>
    <w:rsid w:val="15195806"/>
    <w:rsid w:val="151E5BFA"/>
    <w:rsid w:val="15282FD9"/>
    <w:rsid w:val="152F2066"/>
    <w:rsid w:val="15302709"/>
    <w:rsid w:val="153822B5"/>
    <w:rsid w:val="153D54C3"/>
    <w:rsid w:val="153D6904"/>
    <w:rsid w:val="15412E70"/>
    <w:rsid w:val="155048DF"/>
    <w:rsid w:val="15595889"/>
    <w:rsid w:val="1559799F"/>
    <w:rsid w:val="1566387D"/>
    <w:rsid w:val="156D5EF8"/>
    <w:rsid w:val="15752AD1"/>
    <w:rsid w:val="15774DC7"/>
    <w:rsid w:val="1581564B"/>
    <w:rsid w:val="15AA4A59"/>
    <w:rsid w:val="15B37D7D"/>
    <w:rsid w:val="15B56500"/>
    <w:rsid w:val="15B764B8"/>
    <w:rsid w:val="15BA6B35"/>
    <w:rsid w:val="15BA7066"/>
    <w:rsid w:val="15BD2394"/>
    <w:rsid w:val="15D145E2"/>
    <w:rsid w:val="15D64DE0"/>
    <w:rsid w:val="15E71910"/>
    <w:rsid w:val="15E975DD"/>
    <w:rsid w:val="15EA0FA2"/>
    <w:rsid w:val="15F01F35"/>
    <w:rsid w:val="160649DC"/>
    <w:rsid w:val="16232CE1"/>
    <w:rsid w:val="162A59B4"/>
    <w:rsid w:val="162B6EB9"/>
    <w:rsid w:val="162C1100"/>
    <w:rsid w:val="162D381C"/>
    <w:rsid w:val="16361EF4"/>
    <w:rsid w:val="16411B98"/>
    <w:rsid w:val="16420569"/>
    <w:rsid w:val="16423BF6"/>
    <w:rsid w:val="164856A2"/>
    <w:rsid w:val="16576605"/>
    <w:rsid w:val="165B38E5"/>
    <w:rsid w:val="165B3ABD"/>
    <w:rsid w:val="165E0DD5"/>
    <w:rsid w:val="166B30D5"/>
    <w:rsid w:val="16844830"/>
    <w:rsid w:val="16864F47"/>
    <w:rsid w:val="168D1743"/>
    <w:rsid w:val="169452D6"/>
    <w:rsid w:val="169B2E7C"/>
    <w:rsid w:val="16A61447"/>
    <w:rsid w:val="16A9768A"/>
    <w:rsid w:val="16B3375E"/>
    <w:rsid w:val="16BD3B80"/>
    <w:rsid w:val="16BE50DE"/>
    <w:rsid w:val="16BE71C1"/>
    <w:rsid w:val="16C222AF"/>
    <w:rsid w:val="16C674DB"/>
    <w:rsid w:val="16C759ED"/>
    <w:rsid w:val="16CE0759"/>
    <w:rsid w:val="16DA7F08"/>
    <w:rsid w:val="16E00BE0"/>
    <w:rsid w:val="16E920E1"/>
    <w:rsid w:val="16F5338F"/>
    <w:rsid w:val="17047DC3"/>
    <w:rsid w:val="17057A51"/>
    <w:rsid w:val="17076D19"/>
    <w:rsid w:val="17160E32"/>
    <w:rsid w:val="17314265"/>
    <w:rsid w:val="17435337"/>
    <w:rsid w:val="17450DAB"/>
    <w:rsid w:val="17455B45"/>
    <w:rsid w:val="17507ED0"/>
    <w:rsid w:val="175D4615"/>
    <w:rsid w:val="176A0A7A"/>
    <w:rsid w:val="17891E00"/>
    <w:rsid w:val="17942940"/>
    <w:rsid w:val="17A9063A"/>
    <w:rsid w:val="17AE63AD"/>
    <w:rsid w:val="17B578A2"/>
    <w:rsid w:val="17C45BC4"/>
    <w:rsid w:val="17CF09D2"/>
    <w:rsid w:val="17E175A0"/>
    <w:rsid w:val="17E54B40"/>
    <w:rsid w:val="17E9245F"/>
    <w:rsid w:val="17F20888"/>
    <w:rsid w:val="180A4B35"/>
    <w:rsid w:val="181319C1"/>
    <w:rsid w:val="1823404D"/>
    <w:rsid w:val="182860E3"/>
    <w:rsid w:val="182F0E90"/>
    <w:rsid w:val="18307747"/>
    <w:rsid w:val="18375672"/>
    <w:rsid w:val="18405657"/>
    <w:rsid w:val="184509E3"/>
    <w:rsid w:val="185A73E1"/>
    <w:rsid w:val="185D16C0"/>
    <w:rsid w:val="18670086"/>
    <w:rsid w:val="187C0DEA"/>
    <w:rsid w:val="187F2863"/>
    <w:rsid w:val="18863DF4"/>
    <w:rsid w:val="18917673"/>
    <w:rsid w:val="18940D9E"/>
    <w:rsid w:val="18996923"/>
    <w:rsid w:val="189F0D0E"/>
    <w:rsid w:val="18B83863"/>
    <w:rsid w:val="18BA439B"/>
    <w:rsid w:val="18BA710E"/>
    <w:rsid w:val="18BD27C2"/>
    <w:rsid w:val="18BE6B22"/>
    <w:rsid w:val="18C4037A"/>
    <w:rsid w:val="18C57A32"/>
    <w:rsid w:val="18C945B4"/>
    <w:rsid w:val="18DE58E4"/>
    <w:rsid w:val="18E177BC"/>
    <w:rsid w:val="18F94693"/>
    <w:rsid w:val="18FA15E8"/>
    <w:rsid w:val="19036BA9"/>
    <w:rsid w:val="19076E55"/>
    <w:rsid w:val="19081A4B"/>
    <w:rsid w:val="190C774C"/>
    <w:rsid w:val="190D0D5B"/>
    <w:rsid w:val="19172452"/>
    <w:rsid w:val="192D2656"/>
    <w:rsid w:val="192D58FE"/>
    <w:rsid w:val="192E4B53"/>
    <w:rsid w:val="192E5772"/>
    <w:rsid w:val="193832BA"/>
    <w:rsid w:val="193C2A53"/>
    <w:rsid w:val="19430300"/>
    <w:rsid w:val="19494363"/>
    <w:rsid w:val="195606FA"/>
    <w:rsid w:val="195F7C30"/>
    <w:rsid w:val="196569FB"/>
    <w:rsid w:val="19664364"/>
    <w:rsid w:val="196D3A23"/>
    <w:rsid w:val="196E5552"/>
    <w:rsid w:val="197440E1"/>
    <w:rsid w:val="198A4708"/>
    <w:rsid w:val="19920D4D"/>
    <w:rsid w:val="19BA7045"/>
    <w:rsid w:val="19CD7561"/>
    <w:rsid w:val="19CF110E"/>
    <w:rsid w:val="19E47E89"/>
    <w:rsid w:val="19EC4A9D"/>
    <w:rsid w:val="1A006080"/>
    <w:rsid w:val="1A252E71"/>
    <w:rsid w:val="1A294AA6"/>
    <w:rsid w:val="1A2A1474"/>
    <w:rsid w:val="1A2C356C"/>
    <w:rsid w:val="1A2D2604"/>
    <w:rsid w:val="1A302507"/>
    <w:rsid w:val="1A377C2A"/>
    <w:rsid w:val="1A3F729E"/>
    <w:rsid w:val="1A4152E0"/>
    <w:rsid w:val="1A474E13"/>
    <w:rsid w:val="1A6708A4"/>
    <w:rsid w:val="1A6C0F70"/>
    <w:rsid w:val="1A7D29A0"/>
    <w:rsid w:val="1AAB1186"/>
    <w:rsid w:val="1AB1315B"/>
    <w:rsid w:val="1ABA4C3C"/>
    <w:rsid w:val="1ABF0C02"/>
    <w:rsid w:val="1AC201E4"/>
    <w:rsid w:val="1AC41F04"/>
    <w:rsid w:val="1AD86198"/>
    <w:rsid w:val="1AE76091"/>
    <w:rsid w:val="1AE906A6"/>
    <w:rsid w:val="1AFC4695"/>
    <w:rsid w:val="1B1937E3"/>
    <w:rsid w:val="1B1B79A7"/>
    <w:rsid w:val="1B48580D"/>
    <w:rsid w:val="1B612A90"/>
    <w:rsid w:val="1B623DBB"/>
    <w:rsid w:val="1B6362E7"/>
    <w:rsid w:val="1B7B659A"/>
    <w:rsid w:val="1B861899"/>
    <w:rsid w:val="1B9133C8"/>
    <w:rsid w:val="1B956EEA"/>
    <w:rsid w:val="1B9976C5"/>
    <w:rsid w:val="1B9A41B4"/>
    <w:rsid w:val="1BC62D22"/>
    <w:rsid w:val="1BC96585"/>
    <w:rsid w:val="1BCB44A6"/>
    <w:rsid w:val="1BF51C3E"/>
    <w:rsid w:val="1C0F0059"/>
    <w:rsid w:val="1C2362A8"/>
    <w:rsid w:val="1C2E3F1B"/>
    <w:rsid w:val="1C387059"/>
    <w:rsid w:val="1C4325EA"/>
    <w:rsid w:val="1C47129D"/>
    <w:rsid w:val="1C4E3F7F"/>
    <w:rsid w:val="1C574CD2"/>
    <w:rsid w:val="1C5A73AA"/>
    <w:rsid w:val="1C7A6BC9"/>
    <w:rsid w:val="1C7C11E5"/>
    <w:rsid w:val="1C8E4CE1"/>
    <w:rsid w:val="1C992AF1"/>
    <w:rsid w:val="1CB60245"/>
    <w:rsid w:val="1CBE4789"/>
    <w:rsid w:val="1CC131AC"/>
    <w:rsid w:val="1CC1549A"/>
    <w:rsid w:val="1CCF0FDF"/>
    <w:rsid w:val="1CDB2766"/>
    <w:rsid w:val="1CDC4C18"/>
    <w:rsid w:val="1CE779EE"/>
    <w:rsid w:val="1CED1FE7"/>
    <w:rsid w:val="1CF22578"/>
    <w:rsid w:val="1CF7292C"/>
    <w:rsid w:val="1CFA7D5E"/>
    <w:rsid w:val="1CFF359F"/>
    <w:rsid w:val="1D040258"/>
    <w:rsid w:val="1D090FD2"/>
    <w:rsid w:val="1D1134EC"/>
    <w:rsid w:val="1D133BC8"/>
    <w:rsid w:val="1D153800"/>
    <w:rsid w:val="1D1E3E53"/>
    <w:rsid w:val="1D215F99"/>
    <w:rsid w:val="1D344C11"/>
    <w:rsid w:val="1D3B5E4C"/>
    <w:rsid w:val="1D455EC3"/>
    <w:rsid w:val="1D4F1661"/>
    <w:rsid w:val="1D554B87"/>
    <w:rsid w:val="1D5D03B0"/>
    <w:rsid w:val="1D5E27D2"/>
    <w:rsid w:val="1D6B06CF"/>
    <w:rsid w:val="1D7833A7"/>
    <w:rsid w:val="1D790CEA"/>
    <w:rsid w:val="1DA15142"/>
    <w:rsid w:val="1DA3564B"/>
    <w:rsid w:val="1DBA2CB3"/>
    <w:rsid w:val="1DC60DE9"/>
    <w:rsid w:val="1DD0634C"/>
    <w:rsid w:val="1DD31E90"/>
    <w:rsid w:val="1DDD4370"/>
    <w:rsid w:val="1DE26BE9"/>
    <w:rsid w:val="1DEE29D7"/>
    <w:rsid w:val="1DF54639"/>
    <w:rsid w:val="1E036FCE"/>
    <w:rsid w:val="1E065C13"/>
    <w:rsid w:val="1E154BF9"/>
    <w:rsid w:val="1E1A2348"/>
    <w:rsid w:val="1E1D6DEF"/>
    <w:rsid w:val="1E4569AA"/>
    <w:rsid w:val="1E4C6327"/>
    <w:rsid w:val="1E4E62D8"/>
    <w:rsid w:val="1E5E1934"/>
    <w:rsid w:val="1E6734A9"/>
    <w:rsid w:val="1E7B3D90"/>
    <w:rsid w:val="1E890F8D"/>
    <w:rsid w:val="1E8E0CA5"/>
    <w:rsid w:val="1E93764B"/>
    <w:rsid w:val="1E99462A"/>
    <w:rsid w:val="1EA03755"/>
    <w:rsid w:val="1EA74068"/>
    <w:rsid w:val="1EAB76AE"/>
    <w:rsid w:val="1EAE2868"/>
    <w:rsid w:val="1EC048C3"/>
    <w:rsid w:val="1EC7640D"/>
    <w:rsid w:val="1ECA4C3A"/>
    <w:rsid w:val="1ECC5C91"/>
    <w:rsid w:val="1ED26278"/>
    <w:rsid w:val="1ED81237"/>
    <w:rsid w:val="1ED90CD1"/>
    <w:rsid w:val="1EE46BA6"/>
    <w:rsid w:val="1EF94A6D"/>
    <w:rsid w:val="1F017AEB"/>
    <w:rsid w:val="1F0A017C"/>
    <w:rsid w:val="1F0D44D4"/>
    <w:rsid w:val="1F240D31"/>
    <w:rsid w:val="1F2B1BF3"/>
    <w:rsid w:val="1F2C23A5"/>
    <w:rsid w:val="1F31003B"/>
    <w:rsid w:val="1F332CA6"/>
    <w:rsid w:val="1F5008F0"/>
    <w:rsid w:val="1F5A49CB"/>
    <w:rsid w:val="1F611711"/>
    <w:rsid w:val="1F686DF4"/>
    <w:rsid w:val="1F700831"/>
    <w:rsid w:val="1F733E57"/>
    <w:rsid w:val="1F7FA98A"/>
    <w:rsid w:val="1F825887"/>
    <w:rsid w:val="1F8651D7"/>
    <w:rsid w:val="1F8A13C5"/>
    <w:rsid w:val="1F91219C"/>
    <w:rsid w:val="1FA7646C"/>
    <w:rsid w:val="1FB17C4B"/>
    <w:rsid w:val="1FB26264"/>
    <w:rsid w:val="1FB43EFA"/>
    <w:rsid w:val="1FB50509"/>
    <w:rsid w:val="1FC23110"/>
    <w:rsid w:val="1FC42E2D"/>
    <w:rsid w:val="1FC52E36"/>
    <w:rsid w:val="1FC733AF"/>
    <w:rsid w:val="1FCC04CC"/>
    <w:rsid w:val="1FD455CC"/>
    <w:rsid w:val="1FDC04D4"/>
    <w:rsid w:val="1FE64878"/>
    <w:rsid w:val="1FE9407A"/>
    <w:rsid w:val="1FF35315"/>
    <w:rsid w:val="1FFC63A4"/>
    <w:rsid w:val="1FFE2AEB"/>
    <w:rsid w:val="1FFE2D39"/>
    <w:rsid w:val="200733B8"/>
    <w:rsid w:val="2009009E"/>
    <w:rsid w:val="20146806"/>
    <w:rsid w:val="201661E3"/>
    <w:rsid w:val="201B04D3"/>
    <w:rsid w:val="201B3E4C"/>
    <w:rsid w:val="20290D75"/>
    <w:rsid w:val="202D0620"/>
    <w:rsid w:val="203647FC"/>
    <w:rsid w:val="203778E9"/>
    <w:rsid w:val="203B40D3"/>
    <w:rsid w:val="20402A61"/>
    <w:rsid w:val="20471238"/>
    <w:rsid w:val="2049014A"/>
    <w:rsid w:val="2060181A"/>
    <w:rsid w:val="20654FEE"/>
    <w:rsid w:val="206D762C"/>
    <w:rsid w:val="20816A63"/>
    <w:rsid w:val="208F37FB"/>
    <w:rsid w:val="20967902"/>
    <w:rsid w:val="20A35555"/>
    <w:rsid w:val="20A576A3"/>
    <w:rsid w:val="20B90CF9"/>
    <w:rsid w:val="20CF4C51"/>
    <w:rsid w:val="20FD296C"/>
    <w:rsid w:val="20FE18B0"/>
    <w:rsid w:val="210727E0"/>
    <w:rsid w:val="212121EF"/>
    <w:rsid w:val="213767C6"/>
    <w:rsid w:val="213803E6"/>
    <w:rsid w:val="2139718C"/>
    <w:rsid w:val="21485825"/>
    <w:rsid w:val="214E5B30"/>
    <w:rsid w:val="21510699"/>
    <w:rsid w:val="2178097E"/>
    <w:rsid w:val="217B0CA4"/>
    <w:rsid w:val="21820E17"/>
    <w:rsid w:val="218242A5"/>
    <w:rsid w:val="21926AF9"/>
    <w:rsid w:val="219C4C32"/>
    <w:rsid w:val="21A02F6A"/>
    <w:rsid w:val="21C65A76"/>
    <w:rsid w:val="21DC5F09"/>
    <w:rsid w:val="21DE311D"/>
    <w:rsid w:val="21E5308A"/>
    <w:rsid w:val="21E7129C"/>
    <w:rsid w:val="21EF0988"/>
    <w:rsid w:val="21F02018"/>
    <w:rsid w:val="221060EF"/>
    <w:rsid w:val="22116986"/>
    <w:rsid w:val="22207409"/>
    <w:rsid w:val="22235918"/>
    <w:rsid w:val="22344991"/>
    <w:rsid w:val="223E5BEA"/>
    <w:rsid w:val="224007FD"/>
    <w:rsid w:val="22564E29"/>
    <w:rsid w:val="22592F8D"/>
    <w:rsid w:val="225C1870"/>
    <w:rsid w:val="227A681E"/>
    <w:rsid w:val="229421BE"/>
    <w:rsid w:val="229F331E"/>
    <w:rsid w:val="22AB4DEF"/>
    <w:rsid w:val="22AE6C61"/>
    <w:rsid w:val="22B452E7"/>
    <w:rsid w:val="22BE6C3D"/>
    <w:rsid w:val="22C252A7"/>
    <w:rsid w:val="22C92AFA"/>
    <w:rsid w:val="22D308C1"/>
    <w:rsid w:val="22D55C33"/>
    <w:rsid w:val="22EB7249"/>
    <w:rsid w:val="22EE65C8"/>
    <w:rsid w:val="22F04290"/>
    <w:rsid w:val="22F2371A"/>
    <w:rsid w:val="22F36CE7"/>
    <w:rsid w:val="22F52486"/>
    <w:rsid w:val="22F5322F"/>
    <w:rsid w:val="22F66168"/>
    <w:rsid w:val="22F83344"/>
    <w:rsid w:val="23046782"/>
    <w:rsid w:val="231A6133"/>
    <w:rsid w:val="23203471"/>
    <w:rsid w:val="23325FCD"/>
    <w:rsid w:val="233631B9"/>
    <w:rsid w:val="23440F58"/>
    <w:rsid w:val="2347743F"/>
    <w:rsid w:val="234B7834"/>
    <w:rsid w:val="23527A75"/>
    <w:rsid w:val="23574E22"/>
    <w:rsid w:val="2368268D"/>
    <w:rsid w:val="237262EE"/>
    <w:rsid w:val="23762C8C"/>
    <w:rsid w:val="23782449"/>
    <w:rsid w:val="23792EBE"/>
    <w:rsid w:val="237B1C23"/>
    <w:rsid w:val="23816800"/>
    <w:rsid w:val="23A21379"/>
    <w:rsid w:val="23A40A24"/>
    <w:rsid w:val="23AA6648"/>
    <w:rsid w:val="23AB565B"/>
    <w:rsid w:val="23AC14BA"/>
    <w:rsid w:val="23B00E19"/>
    <w:rsid w:val="23B10DE0"/>
    <w:rsid w:val="23B532A2"/>
    <w:rsid w:val="23B61FE8"/>
    <w:rsid w:val="23C81D43"/>
    <w:rsid w:val="23D5368E"/>
    <w:rsid w:val="23D65030"/>
    <w:rsid w:val="23D758F4"/>
    <w:rsid w:val="23D91D21"/>
    <w:rsid w:val="23DD5720"/>
    <w:rsid w:val="23EA5297"/>
    <w:rsid w:val="23EF56F1"/>
    <w:rsid w:val="240308A3"/>
    <w:rsid w:val="240864B0"/>
    <w:rsid w:val="240A311F"/>
    <w:rsid w:val="2412611A"/>
    <w:rsid w:val="24155059"/>
    <w:rsid w:val="241A255A"/>
    <w:rsid w:val="241C75F2"/>
    <w:rsid w:val="241D53C2"/>
    <w:rsid w:val="241E21DD"/>
    <w:rsid w:val="24240DD8"/>
    <w:rsid w:val="2424564E"/>
    <w:rsid w:val="24283062"/>
    <w:rsid w:val="2429029C"/>
    <w:rsid w:val="242A3024"/>
    <w:rsid w:val="2435307B"/>
    <w:rsid w:val="24466541"/>
    <w:rsid w:val="2453116F"/>
    <w:rsid w:val="24582E25"/>
    <w:rsid w:val="24596F3D"/>
    <w:rsid w:val="245E7CB8"/>
    <w:rsid w:val="24691C87"/>
    <w:rsid w:val="246E4971"/>
    <w:rsid w:val="247C4419"/>
    <w:rsid w:val="248105FF"/>
    <w:rsid w:val="249466E1"/>
    <w:rsid w:val="249B6F37"/>
    <w:rsid w:val="24A57C78"/>
    <w:rsid w:val="24AE0D3C"/>
    <w:rsid w:val="24B5313D"/>
    <w:rsid w:val="24BE4EFD"/>
    <w:rsid w:val="24C21BBB"/>
    <w:rsid w:val="24C820E3"/>
    <w:rsid w:val="24D334AD"/>
    <w:rsid w:val="24D3508F"/>
    <w:rsid w:val="24D977A8"/>
    <w:rsid w:val="24E22490"/>
    <w:rsid w:val="24E5367B"/>
    <w:rsid w:val="24F63647"/>
    <w:rsid w:val="24F650E2"/>
    <w:rsid w:val="24FB450C"/>
    <w:rsid w:val="24FC6EE5"/>
    <w:rsid w:val="24FD24B4"/>
    <w:rsid w:val="24FF6B68"/>
    <w:rsid w:val="250F6EEB"/>
    <w:rsid w:val="25144D56"/>
    <w:rsid w:val="252D6390"/>
    <w:rsid w:val="253D113C"/>
    <w:rsid w:val="25416E10"/>
    <w:rsid w:val="25492F42"/>
    <w:rsid w:val="2550280F"/>
    <w:rsid w:val="255C3837"/>
    <w:rsid w:val="256002A5"/>
    <w:rsid w:val="25606CFF"/>
    <w:rsid w:val="25614063"/>
    <w:rsid w:val="256376A5"/>
    <w:rsid w:val="25641764"/>
    <w:rsid w:val="25643C6C"/>
    <w:rsid w:val="256B4217"/>
    <w:rsid w:val="25762D04"/>
    <w:rsid w:val="257E787A"/>
    <w:rsid w:val="258E6D46"/>
    <w:rsid w:val="2597065A"/>
    <w:rsid w:val="259A4FE0"/>
    <w:rsid w:val="25A53853"/>
    <w:rsid w:val="25B23C5D"/>
    <w:rsid w:val="25B62BF1"/>
    <w:rsid w:val="25C23BBA"/>
    <w:rsid w:val="25C348CE"/>
    <w:rsid w:val="25CB7274"/>
    <w:rsid w:val="25D7368A"/>
    <w:rsid w:val="25D94FA6"/>
    <w:rsid w:val="25E83B47"/>
    <w:rsid w:val="25ED7C7B"/>
    <w:rsid w:val="25FE1963"/>
    <w:rsid w:val="2617030E"/>
    <w:rsid w:val="261B204E"/>
    <w:rsid w:val="26333A4E"/>
    <w:rsid w:val="26435DB4"/>
    <w:rsid w:val="26590D78"/>
    <w:rsid w:val="26615315"/>
    <w:rsid w:val="26663E84"/>
    <w:rsid w:val="267859C4"/>
    <w:rsid w:val="26895B15"/>
    <w:rsid w:val="26916D07"/>
    <w:rsid w:val="26922151"/>
    <w:rsid w:val="2695315B"/>
    <w:rsid w:val="26981CA4"/>
    <w:rsid w:val="269E6B26"/>
    <w:rsid w:val="26A16452"/>
    <w:rsid w:val="26B64FCD"/>
    <w:rsid w:val="26B87DAD"/>
    <w:rsid w:val="26C86E2D"/>
    <w:rsid w:val="26D519C6"/>
    <w:rsid w:val="26E25459"/>
    <w:rsid w:val="26E541E7"/>
    <w:rsid w:val="26E624B9"/>
    <w:rsid w:val="26FC0350"/>
    <w:rsid w:val="26FE3B9A"/>
    <w:rsid w:val="26FF5BE7"/>
    <w:rsid w:val="270F77E4"/>
    <w:rsid w:val="27160E77"/>
    <w:rsid w:val="271763E5"/>
    <w:rsid w:val="271D1792"/>
    <w:rsid w:val="272535E6"/>
    <w:rsid w:val="2728071A"/>
    <w:rsid w:val="27302C1C"/>
    <w:rsid w:val="27345B98"/>
    <w:rsid w:val="274307FB"/>
    <w:rsid w:val="274E0292"/>
    <w:rsid w:val="27516C6F"/>
    <w:rsid w:val="27562706"/>
    <w:rsid w:val="27627383"/>
    <w:rsid w:val="277E6196"/>
    <w:rsid w:val="27A26508"/>
    <w:rsid w:val="27A71EA8"/>
    <w:rsid w:val="27B702B9"/>
    <w:rsid w:val="27C06A88"/>
    <w:rsid w:val="27D5405B"/>
    <w:rsid w:val="27DF5544"/>
    <w:rsid w:val="280520B8"/>
    <w:rsid w:val="280A1EA5"/>
    <w:rsid w:val="280E0EB1"/>
    <w:rsid w:val="282012C0"/>
    <w:rsid w:val="28266624"/>
    <w:rsid w:val="2836779D"/>
    <w:rsid w:val="283B0F0D"/>
    <w:rsid w:val="2845221C"/>
    <w:rsid w:val="28491173"/>
    <w:rsid w:val="28505D92"/>
    <w:rsid w:val="28552ABF"/>
    <w:rsid w:val="285E1C95"/>
    <w:rsid w:val="28741198"/>
    <w:rsid w:val="28761676"/>
    <w:rsid w:val="28852500"/>
    <w:rsid w:val="288A2311"/>
    <w:rsid w:val="28940FA3"/>
    <w:rsid w:val="28974012"/>
    <w:rsid w:val="289C1416"/>
    <w:rsid w:val="28A044B5"/>
    <w:rsid w:val="28B1694E"/>
    <w:rsid w:val="28BB1F86"/>
    <w:rsid w:val="28C4604E"/>
    <w:rsid w:val="28D22D3A"/>
    <w:rsid w:val="28D82E3E"/>
    <w:rsid w:val="28D93EE5"/>
    <w:rsid w:val="28DE6843"/>
    <w:rsid w:val="28DF3BAE"/>
    <w:rsid w:val="28E622DE"/>
    <w:rsid w:val="28EA7902"/>
    <w:rsid w:val="28EE092C"/>
    <w:rsid w:val="28FB15C2"/>
    <w:rsid w:val="28FC1880"/>
    <w:rsid w:val="2908671D"/>
    <w:rsid w:val="29126FF8"/>
    <w:rsid w:val="291948CF"/>
    <w:rsid w:val="2928632A"/>
    <w:rsid w:val="29365FA1"/>
    <w:rsid w:val="293B5548"/>
    <w:rsid w:val="293C3A97"/>
    <w:rsid w:val="295E299A"/>
    <w:rsid w:val="29675FF7"/>
    <w:rsid w:val="29682EDF"/>
    <w:rsid w:val="296B5579"/>
    <w:rsid w:val="296C1CDA"/>
    <w:rsid w:val="29745B98"/>
    <w:rsid w:val="297B0E08"/>
    <w:rsid w:val="297C7B0D"/>
    <w:rsid w:val="297E31A8"/>
    <w:rsid w:val="2988251A"/>
    <w:rsid w:val="298E747C"/>
    <w:rsid w:val="298E79F7"/>
    <w:rsid w:val="299343CE"/>
    <w:rsid w:val="299E68C3"/>
    <w:rsid w:val="29A70521"/>
    <w:rsid w:val="29AA6F0A"/>
    <w:rsid w:val="29AE50CA"/>
    <w:rsid w:val="29BD1AEA"/>
    <w:rsid w:val="29C35511"/>
    <w:rsid w:val="29C76E0D"/>
    <w:rsid w:val="29CB61A1"/>
    <w:rsid w:val="29CF5123"/>
    <w:rsid w:val="29D46006"/>
    <w:rsid w:val="29EB065A"/>
    <w:rsid w:val="29FB4DC3"/>
    <w:rsid w:val="29FD5DE5"/>
    <w:rsid w:val="2A0271E9"/>
    <w:rsid w:val="2A0E442A"/>
    <w:rsid w:val="2A105C27"/>
    <w:rsid w:val="2A151A98"/>
    <w:rsid w:val="2A177DCB"/>
    <w:rsid w:val="2A2B30D5"/>
    <w:rsid w:val="2A2D77B2"/>
    <w:rsid w:val="2A2E723B"/>
    <w:rsid w:val="2A4A2FE8"/>
    <w:rsid w:val="2A4C71FD"/>
    <w:rsid w:val="2A4E25D2"/>
    <w:rsid w:val="2A527FEC"/>
    <w:rsid w:val="2A5E556C"/>
    <w:rsid w:val="2A6B4E4E"/>
    <w:rsid w:val="2A741313"/>
    <w:rsid w:val="2A762DB6"/>
    <w:rsid w:val="2A8A65D9"/>
    <w:rsid w:val="2A9845F0"/>
    <w:rsid w:val="2AA15E6C"/>
    <w:rsid w:val="2AA57411"/>
    <w:rsid w:val="2AB84985"/>
    <w:rsid w:val="2AB91DEE"/>
    <w:rsid w:val="2AC14E24"/>
    <w:rsid w:val="2AC522A9"/>
    <w:rsid w:val="2AC63E3A"/>
    <w:rsid w:val="2ACA7121"/>
    <w:rsid w:val="2ACD3983"/>
    <w:rsid w:val="2AD63B63"/>
    <w:rsid w:val="2AE656EB"/>
    <w:rsid w:val="2AF20181"/>
    <w:rsid w:val="2AF966CA"/>
    <w:rsid w:val="2B0471A2"/>
    <w:rsid w:val="2B0C706D"/>
    <w:rsid w:val="2B147D35"/>
    <w:rsid w:val="2B3814E9"/>
    <w:rsid w:val="2B3D4E30"/>
    <w:rsid w:val="2B402956"/>
    <w:rsid w:val="2B485E04"/>
    <w:rsid w:val="2B4C5398"/>
    <w:rsid w:val="2B5249DF"/>
    <w:rsid w:val="2B590EBA"/>
    <w:rsid w:val="2B655143"/>
    <w:rsid w:val="2B712C31"/>
    <w:rsid w:val="2B7703DB"/>
    <w:rsid w:val="2B8D2638"/>
    <w:rsid w:val="2B9569B0"/>
    <w:rsid w:val="2B9B4C3D"/>
    <w:rsid w:val="2BABEC14"/>
    <w:rsid w:val="2BAC3692"/>
    <w:rsid w:val="2BB2724E"/>
    <w:rsid w:val="2BB53AA1"/>
    <w:rsid w:val="2BC737FD"/>
    <w:rsid w:val="2BCA03B4"/>
    <w:rsid w:val="2BCD345C"/>
    <w:rsid w:val="2BD11E41"/>
    <w:rsid w:val="2BDE5A22"/>
    <w:rsid w:val="2BE96D7A"/>
    <w:rsid w:val="2BF643B6"/>
    <w:rsid w:val="2BF76E93"/>
    <w:rsid w:val="2C02455B"/>
    <w:rsid w:val="2C027EC3"/>
    <w:rsid w:val="2C0B557C"/>
    <w:rsid w:val="2C0D03AC"/>
    <w:rsid w:val="2C125B9F"/>
    <w:rsid w:val="2C146CDD"/>
    <w:rsid w:val="2C172E9C"/>
    <w:rsid w:val="2C1D7C6F"/>
    <w:rsid w:val="2C220978"/>
    <w:rsid w:val="2C2A2654"/>
    <w:rsid w:val="2C2F2B49"/>
    <w:rsid w:val="2C317228"/>
    <w:rsid w:val="2C427A7F"/>
    <w:rsid w:val="2C69104A"/>
    <w:rsid w:val="2C6E6EA0"/>
    <w:rsid w:val="2C717DBC"/>
    <w:rsid w:val="2C725474"/>
    <w:rsid w:val="2C761E25"/>
    <w:rsid w:val="2C7C7C88"/>
    <w:rsid w:val="2C7D570A"/>
    <w:rsid w:val="2C801CFA"/>
    <w:rsid w:val="2C81624D"/>
    <w:rsid w:val="2C842041"/>
    <w:rsid w:val="2CA0329E"/>
    <w:rsid w:val="2CA25CAE"/>
    <w:rsid w:val="2CA6175D"/>
    <w:rsid w:val="2CB14E40"/>
    <w:rsid w:val="2CBD55E3"/>
    <w:rsid w:val="2CD317B6"/>
    <w:rsid w:val="2CD90022"/>
    <w:rsid w:val="2CE37ABA"/>
    <w:rsid w:val="2CEC1CCA"/>
    <w:rsid w:val="2D090B71"/>
    <w:rsid w:val="2D0A1B8D"/>
    <w:rsid w:val="2D11479A"/>
    <w:rsid w:val="2D280940"/>
    <w:rsid w:val="2D312AA8"/>
    <w:rsid w:val="2D327396"/>
    <w:rsid w:val="2D346567"/>
    <w:rsid w:val="2D347437"/>
    <w:rsid w:val="2D3E16EE"/>
    <w:rsid w:val="2D4C07A4"/>
    <w:rsid w:val="2D52792D"/>
    <w:rsid w:val="2D741382"/>
    <w:rsid w:val="2D787C68"/>
    <w:rsid w:val="2D797517"/>
    <w:rsid w:val="2D7C6E5F"/>
    <w:rsid w:val="2D7D1F23"/>
    <w:rsid w:val="2D837289"/>
    <w:rsid w:val="2D8B74D3"/>
    <w:rsid w:val="2D8F17A1"/>
    <w:rsid w:val="2D990DB2"/>
    <w:rsid w:val="2D9B3372"/>
    <w:rsid w:val="2D9C7FFE"/>
    <w:rsid w:val="2D9E38B3"/>
    <w:rsid w:val="2DA11FE9"/>
    <w:rsid w:val="2DA76930"/>
    <w:rsid w:val="2DB23579"/>
    <w:rsid w:val="2DB604DD"/>
    <w:rsid w:val="2DBE3D09"/>
    <w:rsid w:val="2DC0289E"/>
    <w:rsid w:val="2DC25DCC"/>
    <w:rsid w:val="2DD62137"/>
    <w:rsid w:val="2DDB2F86"/>
    <w:rsid w:val="2DDB5965"/>
    <w:rsid w:val="2DF05973"/>
    <w:rsid w:val="2E00544A"/>
    <w:rsid w:val="2E012F21"/>
    <w:rsid w:val="2E076E9C"/>
    <w:rsid w:val="2E151FA8"/>
    <w:rsid w:val="2E3C328E"/>
    <w:rsid w:val="2E3D6D1A"/>
    <w:rsid w:val="2E402DEC"/>
    <w:rsid w:val="2E463F1D"/>
    <w:rsid w:val="2E4E7979"/>
    <w:rsid w:val="2E5A2E46"/>
    <w:rsid w:val="2E5E399D"/>
    <w:rsid w:val="2E6433DE"/>
    <w:rsid w:val="2E701728"/>
    <w:rsid w:val="2E767F7E"/>
    <w:rsid w:val="2E782DED"/>
    <w:rsid w:val="2E7A22FD"/>
    <w:rsid w:val="2E861E29"/>
    <w:rsid w:val="2E906C47"/>
    <w:rsid w:val="2EA339A5"/>
    <w:rsid w:val="2EB62EB9"/>
    <w:rsid w:val="2EC06B76"/>
    <w:rsid w:val="2ECE0425"/>
    <w:rsid w:val="2ED841FE"/>
    <w:rsid w:val="2EDF6F52"/>
    <w:rsid w:val="2EE00E8E"/>
    <w:rsid w:val="2EEB0A78"/>
    <w:rsid w:val="2EEB7FAF"/>
    <w:rsid w:val="2EEE1C8B"/>
    <w:rsid w:val="2EF01A04"/>
    <w:rsid w:val="2EFC51FA"/>
    <w:rsid w:val="2F123765"/>
    <w:rsid w:val="2F1D01EE"/>
    <w:rsid w:val="2F302F3F"/>
    <w:rsid w:val="2F303CBF"/>
    <w:rsid w:val="2F3B0B88"/>
    <w:rsid w:val="2F5114E8"/>
    <w:rsid w:val="2F525233"/>
    <w:rsid w:val="2F687CD6"/>
    <w:rsid w:val="2F6D49C1"/>
    <w:rsid w:val="2F756F0F"/>
    <w:rsid w:val="2F77416E"/>
    <w:rsid w:val="2F79CEBE"/>
    <w:rsid w:val="2F806629"/>
    <w:rsid w:val="2F8F1814"/>
    <w:rsid w:val="2F8F3117"/>
    <w:rsid w:val="2F940B9B"/>
    <w:rsid w:val="2FA37425"/>
    <w:rsid w:val="2FB76FDC"/>
    <w:rsid w:val="2FBA3B51"/>
    <w:rsid w:val="2FBC7EBB"/>
    <w:rsid w:val="2FD70C5F"/>
    <w:rsid w:val="2FE42BDF"/>
    <w:rsid w:val="2FE6542D"/>
    <w:rsid w:val="2FE85726"/>
    <w:rsid w:val="2FF0569B"/>
    <w:rsid w:val="2FFE1DA7"/>
    <w:rsid w:val="300530A0"/>
    <w:rsid w:val="30196B10"/>
    <w:rsid w:val="30205738"/>
    <w:rsid w:val="30637597"/>
    <w:rsid w:val="306F63F7"/>
    <w:rsid w:val="3073794F"/>
    <w:rsid w:val="308A6F0F"/>
    <w:rsid w:val="308E655F"/>
    <w:rsid w:val="30903846"/>
    <w:rsid w:val="30935F12"/>
    <w:rsid w:val="309C34C5"/>
    <w:rsid w:val="30A30058"/>
    <w:rsid w:val="30A56A43"/>
    <w:rsid w:val="30A942DE"/>
    <w:rsid w:val="30C62B96"/>
    <w:rsid w:val="30C70618"/>
    <w:rsid w:val="30D140CD"/>
    <w:rsid w:val="30D228C7"/>
    <w:rsid w:val="30D629EF"/>
    <w:rsid w:val="30DB4216"/>
    <w:rsid w:val="30E725E9"/>
    <w:rsid w:val="30F4495F"/>
    <w:rsid w:val="30FF48C3"/>
    <w:rsid w:val="310B50C9"/>
    <w:rsid w:val="31112DB6"/>
    <w:rsid w:val="31155BC2"/>
    <w:rsid w:val="311E78A1"/>
    <w:rsid w:val="31263AD6"/>
    <w:rsid w:val="312A4649"/>
    <w:rsid w:val="312B3ECD"/>
    <w:rsid w:val="313004FE"/>
    <w:rsid w:val="31400B88"/>
    <w:rsid w:val="314011DB"/>
    <w:rsid w:val="314E1A64"/>
    <w:rsid w:val="315F400E"/>
    <w:rsid w:val="315F58B2"/>
    <w:rsid w:val="316250E0"/>
    <w:rsid w:val="31697918"/>
    <w:rsid w:val="316E72CA"/>
    <w:rsid w:val="31733465"/>
    <w:rsid w:val="31790544"/>
    <w:rsid w:val="31926D8A"/>
    <w:rsid w:val="31A10BBF"/>
    <w:rsid w:val="31B551CF"/>
    <w:rsid w:val="31BA63AD"/>
    <w:rsid w:val="31BB70D6"/>
    <w:rsid w:val="31C40A54"/>
    <w:rsid w:val="31C95FF1"/>
    <w:rsid w:val="31CC7C96"/>
    <w:rsid w:val="31D121FC"/>
    <w:rsid w:val="31D5016F"/>
    <w:rsid w:val="31E6099A"/>
    <w:rsid w:val="31EA2E41"/>
    <w:rsid w:val="31EC406F"/>
    <w:rsid w:val="31FC2401"/>
    <w:rsid w:val="3206536B"/>
    <w:rsid w:val="320B4840"/>
    <w:rsid w:val="32262FF7"/>
    <w:rsid w:val="32265FD5"/>
    <w:rsid w:val="322F2619"/>
    <w:rsid w:val="32373CF1"/>
    <w:rsid w:val="323C0179"/>
    <w:rsid w:val="32484DBF"/>
    <w:rsid w:val="3257078F"/>
    <w:rsid w:val="326710D4"/>
    <w:rsid w:val="326748DA"/>
    <w:rsid w:val="32693564"/>
    <w:rsid w:val="3288061A"/>
    <w:rsid w:val="329E3BC4"/>
    <w:rsid w:val="32BB10E4"/>
    <w:rsid w:val="32C5454E"/>
    <w:rsid w:val="32DB26AD"/>
    <w:rsid w:val="32DC6DD3"/>
    <w:rsid w:val="32E14AC7"/>
    <w:rsid w:val="32E21699"/>
    <w:rsid w:val="32E411ED"/>
    <w:rsid w:val="33096C22"/>
    <w:rsid w:val="331A1982"/>
    <w:rsid w:val="332158DC"/>
    <w:rsid w:val="332E3179"/>
    <w:rsid w:val="33405BB7"/>
    <w:rsid w:val="334B7EA0"/>
    <w:rsid w:val="334C46CB"/>
    <w:rsid w:val="334F0F5E"/>
    <w:rsid w:val="33557C28"/>
    <w:rsid w:val="33600D0F"/>
    <w:rsid w:val="337720A2"/>
    <w:rsid w:val="337A3D09"/>
    <w:rsid w:val="337A40D1"/>
    <w:rsid w:val="337C0A0F"/>
    <w:rsid w:val="338874CA"/>
    <w:rsid w:val="33953F9C"/>
    <w:rsid w:val="33A742E1"/>
    <w:rsid w:val="33A84955"/>
    <w:rsid w:val="33BD3E12"/>
    <w:rsid w:val="33D12FD2"/>
    <w:rsid w:val="33D56C16"/>
    <w:rsid w:val="33DA45E3"/>
    <w:rsid w:val="33E51F84"/>
    <w:rsid w:val="33FC48D7"/>
    <w:rsid w:val="340279D7"/>
    <w:rsid w:val="340A74A4"/>
    <w:rsid w:val="3424680A"/>
    <w:rsid w:val="34283712"/>
    <w:rsid w:val="34296F6F"/>
    <w:rsid w:val="34351EFC"/>
    <w:rsid w:val="34390240"/>
    <w:rsid w:val="343B20A0"/>
    <w:rsid w:val="343F416B"/>
    <w:rsid w:val="344204A3"/>
    <w:rsid w:val="344603D3"/>
    <w:rsid w:val="34496EC7"/>
    <w:rsid w:val="344B465E"/>
    <w:rsid w:val="345C457C"/>
    <w:rsid w:val="346840B9"/>
    <w:rsid w:val="346F79A4"/>
    <w:rsid w:val="3474049E"/>
    <w:rsid w:val="3476679F"/>
    <w:rsid w:val="34774060"/>
    <w:rsid w:val="34785297"/>
    <w:rsid w:val="34A6153F"/>
    <w:rsid w:val="34BE4995"/>
    <w:rsid w:val="34C034D6"/>
    <w:rsid w:val="34C151EF"/>
    <w:rsid w:val="34C36CBC"/>
    <w:rsid w:val="34C67823"/>
    <w:rsid w:val="34CD5132"/>
    <w:rsid w:val="34CF6669"/>
    <w:rsid w:val="34F15270"/>
    <w:rsid w:val="34F60372"/>
    <w:rsid w:val="34FA2A04"/>
    <w:rsid w:val="35074561"/>
    <w:rsid w:val="351C3430"/>
    <w:rsid w:val="35202426"/>
    <w:rsid w:val="35235778"/>
    <w:rsid w:val="3539406E"/>
    <w:rsid w:val="3543266F"/>
    <w:rsid w:val="355A2295"/>
    <w:rsid w:val="355E3D22"/>
    <w:rsid w:val="356B6D96"/>
    <w:rsid w:val="35706240"/>
    <w:rsid w:val="3585599D"/>
    <w:rsid w:val="358F726C"/>
    <w:rsid w:val="359F3A49"/>
    <w:rsid w:val="35A160DC"/>
    <w:rsid w:val="35A94C06"/>
    <w:rsid w:val="35BE67F0"/>
    <w:rsid w:val="35BF4036"/>
    <w:rsid w:val="35C90E69"/>
    <w:rsid w:val="35C94AEF"/>
    <w:rsid w:val="35CF29CE"/>
    <w:rsid w:val="35E65FA8"/>
    <w:rsid w:val="35E756BB"/>
    <w:rsid w:val="35F96946"/>
    <w:rsid w:val="36015B90"/>
    <w:rsid w:val="36065CF1"/>
    <w:rsid w:val="360D1466"/>
    <w:rsid w:val="360F79C2"/>
    <w:rsid w:val="36112315"/>
    <w:rsid w:val="361A6D80"/>
    <w:rsid w:val="361D1BDF"/>
    <w:rsid w:val="361D2B8E"/>
    <w:rsid w:val="361E72EC"/>
    <w:rsid w:val="36341673"/>
    <w:rsid w:val="363671C6"/>
    <w:rsid w:val="363A3CFD"/>
    <w:rsid w:val="364B4321"/>
    <w:rsid w:val="364F5A2A"/>
    <w:rsid w:val="36577316"/>
    <w:rsid w:val="365C1F55"/>
    <w:rsid w:val="36794B25"/>
    <w:rsid w:val="367D49BD"/>
    <w:rsid w:val="36951DC3"/>
    <w:rsid w:val="3698377B"/>
    <w:rsid w:val="369B7C56"/>
    <w:rsid w:val="36A66829"/>
    <w:rsid w:val="36C06A93"/>
    <w:rsid w:val="36CC252F"/>
    <w:rsid w:val="36D66CC6"/>
    <w:rsid w:val="36DA62AB"/>
    <w:rsid w:val="36DB2974"/>
    <w:rsid w:val="36E12F6C"/>
    <w:rsid w:val="36F05C85"/>
    <w:rsid w:val="36FA6965"/>
    <w:rsid w:val="36FF1724"/>
    <w:rsid w:val="370902B7"/>
    <w:rsid w:val="370B7B53"/>
    <w:rsid w:val="37143AAA"/>
    <w:rsid w:val="37156B55"/>
    <w:rsid w:val="37172642"/>
    <w:rsid w:val="371D035E"/>
    <w:rsid w:val="371E292D"/>
    <w:rsid w:val="371F1DE0"/>
    <w:rsid w:val="372F639B"/>
    <w:rsid w:val="37422135"/>
    <w:rsid w:val="374809F5"/>
    <w:rsid w:val="37483B29"/>
    <w:rsid w:val="374D3D49"/>
    <w:rsid w:val="37516362"/>
    <w:rsid w:val="37570D7E"/>
    <w:rsid w:val="37640BE7"/>
    <w:rsid w:val="37656127"/>
    <w:rsid w:val="37676D1F"/>
    <w:rsid w:val="37693DB8"/>
    <w:rsid w:val="376C3559"/>
    <w:rsid w:val="377452B8"/>
    <w:rsid w:val="378004A4"/>
    <w:rsid w:val="37880EE4"/>
    <w:rsid w:val="37894E57"/>
    <w:rsid w:val="378A5DAD"/>
    <w:rsid w:val="37984652"/>
    <w:rsid w:val="37A956A6"/>
    <w:rsid w:val="37AC1DC8"/>
    <w:rsid w:val="37B449F3"/>
    <w:rsid w:val="37D1752B"/>
    <w:rsid w:val="37D43348"/>
    <w:rsid w:val="37DB6352"/>
    <w:rsid w:val="37E33B7D"/>
    <w:rsid w:val="37E50A71"/>
    <w:rsid w:val="37ED6D06"/>
    <w:rsid w:val="37FA6D0B"/>
    <w:rsid w:val="37FE3FAF"/>
    <w:rsid w:val="380534F8"/>
    <w:rsid w:val="3807701A"/>
    <w:rsid w:val="380C5081"/>
    <w:rsid w:val="3816174E"/>
    <w:rsid w:val="384564E0"/>
    <w:rsid w:val="38594A45"/>
    <w:rsid w:val="385A1EFA"/>
    <w:rsid w:val="385E543D"/>
    <w:rsid w:val="38662C6D"/>
    <w:rsid w:val="38743FB4"/>
    <w:rsid w:val="3875587C"/>
    <w:rsid w:val="38903694"/>
    <w:rsid w:val="389D0587"/>
    <w:rsid w:val="389F7E73"/>
    <w:rsid w:val="38A30A78"/>
    <w:rsid w:val="38A36ACC"/>
    <w:rsid w:val="38BB0554"/>
    <w:rsid w:val="38CE0621"/>
    <w:rsid w:val="38D84D95"/>
    <w:rsid w:val="38DD2BC2"/>
    <w:rsid w:val="38E066C5"/>
    <w:rsid w:val="38E85CE9"/>
    <w:rsid w:val="38F31481"/>
    <w:rsid w:val="38F372D7"/>
    <w:rsid w:val="38F82C11"/>
    <w:rsid w:val="390457E9"/>
    <w:rsid w:val="39046717"/>
    <w:rsid w:val="390901EF"/>
    <w:rsid w:val="390F607E"/>
    <w:rsid w:val="39160A1A"/>
    <w:rsid w:val="391F67F6"/>
    <w:rsid w:val="393051E4"/>
    <w:rsid w:val="39315A99"/>
    <w:rsid w:val="39484E09"/>
    <w:rsid w:val="395A1104"/>
    <w:rsid w:val="395B4F36"/>
    <w:rsid w:val="39677B25"/>
    <w:rsid w:val="39723D78"/>
    <w:rsid w:val="39857312"/>
    <w:rsid w:val="39872666"/>
    <w:rsid w:val="398C7053"/>
    <w:rsid w:val="398D2FCC"/>
    <w:rsid w:val="39906662"/>
    <w:rsid w:val="39906DD7"/>
    <w:rsid w:val="3992579C"/>
    <w:rsid w:val="39A00A76"/>
    <w:rsid w:val="39A34C72"/>
    <w:rsid w:val="39A8171C"/>
    <w:rsid w:val="39AA6B1B"/>
    <w:rsid w:val="39C509DD"/>
    <w:rsid w:val="39CB419C"/>
    <w:rsid w:val="39CC3BEB"/>
    <w:rsid w:val="39DA5F07"/>
    <w:rsid w:val="39E33012"/>
    <w:rsid w:val="39E6373E"/>
    <w:rsid w:val="39EB3C08"/>
    <w:rsid w:val="39EB559F"/>
    <w:rsid w:val="39F227A8"/>
    <w:rsid w:val="39F44362"/>
    <w:rsid w:val="39FA26AE"/>
    <w:rsid w:val="39FA7F52"/>
    <w:rsid w:val="3A005DC9"/>
    <w:rsid w:val="3A014FA2"/>
    <w:rsid w:val="3A0345E0"/>
    <w:rsid w:val="3A0606BF"/>
    <w:rsid w:val="3A095740"/>
    <w:rsid w:val="3A0F19F4"/>
    <w:rsid w:val="3A1102D1"/>
    <w:rsid w:val="3A142DA1"/>
    <w:rsid w:val="3A195C3F"/>
    <w:rsid w:val="3A2A65E3"/>
    <w:rsid w:val="3A334FB4"/>
    <w:rsid w:val="3A430829"/>
    <w:rsid w:val="3A4E487E"/>
    <w:rsid w:val="3A522F7F"/>
    <w:rsid w:val="3A5B5BCB"/>
    <w:rsid w:val="3A5E4243"/>
    <w:rsid w:val="3A6D58D7"/>
    <w:rsid w:val="3A6F11C9"/>
    <w:rsid w:val="3A7C29F2"/>
    <w:rsid w:val="3A7F324C"/>
    <w:rsid w:val="3A87183B"/>
    <w:rsid w:val="3A880E29"/>
    <w:rsid w:val="3A92538A"/>
    <w:rsid w:val="3A94780D"/>
    <w:rsid w:val="3AAE6EAB"/>
    <w:rsid w:val="3AB80AA7"/>
    <w:rsid w:val="3ACD3B57"/>
    <w:rsid w:val="3AD17712"/>
    <w:rsid w:val="3AD82C28"/>
    <w:rsid w:val="3AE3139F"/>
    <w:rsid w:val="3AF17E99"/>
    <w:rsid w:val="3AF91CCD"/>
    <w:rsid w:val="3AFC6897"/>
    <w:rsid w:val="3B0A473B"/>
    <w:rsid w:val="3B0E529E"/>
    <w:rsid w:val="3B134072"/>
    <w:rsid w:val="3B274463"/>
    <w:rsid w:val="3B2E3DB6"/>
    <w:rsid w:val="3B306EA8"/>
    <w:rsid w:val="3B381D36"/>
    <w:rsid w:val="3B5775E3"/>
    <w:rsid w:val="3B6C128B"/>
    <w:rsid w:val="3B863C56"/>
    <w:rsid w:val="3B8A4A97"/>
    <w:rsid w:val="3B935BA8"/>
    <w:rsid w:val="3B947435"/>
    <w:rsid w:val="3B974891"/>
    <w:rsid w:val="3B9B1DDA"/>
    <w:rsid w:val="3BA32FC2"/>
    <w:rsid w:val="3BA62C5E"/>
    <w:rsid w:val="3BAE054D"/>
    <w:rsid w:val="3BB37481"/>
    <w:rsid w:val="3BB40C93"/>
    <w:rsid w:val="3BC14092"/>
    <w:rsid w:val="3BC24168"/>
    <w:rsid w:val="3BC43686"/>
    <w:rsid w:val="3BD031AE"/>
    <w:rsid w:val="3BE6341F"/>
    <w:rsid w:val="3BED2703"/>
    <w:rsid w:val="3BEE3F34"/>
    <w:rsid w:val="3BFA2EDC"/>
    <w:rsid w:val="3BFB4A10"/>
    <w:rsid w:val="3C0407C1"/>
    <w:rsid w:val="3C07387B"/>
    <w:rsid w:val="3C0E4D2A"/>
    <w:rsid w:val="3C0E56DA"/>
    <w:rsid w:val="3C0E61D6"/>
    <w:rsid w:val="3C104A2B"/>
    <w:rsid w:val="3C135817"/>
    <w:rsid w:val="3C153CA2"/>
    <w:rsid w:val="3C1A4E8D"/>
    <w:rsid w:val="3C203A19"/>
    <w:rsid w:val="3C3012FC"/>
    <w:rsid w:val="3C3022CE"/>
    <w:rsid w:val="3C364F22"/>
    <w:rsid w:val="3C3A2962"/>
    <w:rsid w:val="3C3C5492"/>
    <w:rsid w:val="3C4C418E"/>
    <w:rsid w:val="3C4C5111"/>
    <w:rsid w:val="3C4E414D"/>
    <w:rsid w:val="3C683C76"/>
    <w:rsid w:val="3C6B5A13"/>
    <w:rsid w:val="3C6F2DB7"/>
    <w:rsid w:val="3C715BD3"/>
    <w:rsid w:val="3C7241A3"/>
    <w:rsid w:val="3C736D56"/>
    <w:rsid w:val="3C77495C"/>
    <w:rsid w:val="3C784DBC"/>
    <w:rsid w:val="3C7923FD"/>
    <w:rsid w:val="3C793F97"/>
    <w:rsid w:val="3C7A5BC5"/>
    <w:rsid w:val="3C7A69DA"/>
    <w:rsid w:val="3C7E21FC"/>
    <w:rsid w:val="3C8369DF"/>
    <w:rsid w:val="3C985470"/>
    <w:rsid w:val="3C9A5B15"/>
    <w:rsid w:val="3C9F6C1D"/>
    <w:rsid w:val="3CA130A1"/>
    <w:rsid w:val="3CAF5049"/>
    <w:rsid w:val="3CB42249"/>
    <w:rsid w:val="3CBA2524"/>
    <w:rsid w:val="3CBC1EB2"/>
    <w:rsid w:val="3CBD7933"/>
    <w:rsid w:val="3CC82230"/>
    <w:rsid w:val="3CD2706C"/>
    <w:rsid w:val="3CD75F5F"/>
    <w:rsid w:val="3CDB4067"/>
    <w:rsid w:val="3CDB59F7"/>
    <w:rsid w:val="3CE26498"/>
    <w:rsid w:val="3CE545E6"/>
    <w:rsid w:val="3CED2681"/>
    <w:rsid w:val="3D1A37B0"/>
    <w:rsid w:val="3D240285"/>
    <w:rsid w:val="3D2B7651"/>
    <w:rsid w:val="3D393BB1"/>
    <w:rsid w:val="3D3C4114"/>
    <w:rsid w:val="3D485717"/>
    <w:rsid w:val="3D632551"/>
    <w:rsid w:val="3D8F3075"/>
    <w:rsid w:val="3D9745C5"/>
    <w:rsid w:val="3D9A7949"/>
    <w:rsid w:val="3D9C467B"/>
    <w:rsid w:val="3D9F6E79"/>
    <w:rsid w:val="3DA07301"/>
    <w:rsid w:val="3DB159B2"/>
    <w:rsid w:val="3DC84452"/>
    <w:rsid w:val="3DD23BF8"/>
    <w:rsid w:val="3DDE1109"/>
    <w:rsid w:val="3DF21144"/>
    <w:rsid w:val="3DF832AB"/>
    <w:rsid w:val="3E03044E"/>
    <w:rsid w:val="3E0516F6"/>
    <w:rsid w:val="3E060BCF"/>
    <w:rsid w:val="3E0D3DDD"/>
    <w:rsid w:val="3E0F5352"/>
    <w:rsid w:val="3E2069EE"/>
    <w:rsid w:val="3E247497"/>
    <w:rsid w:val="3E2E03FF"/>
    <w:rsid w:val="3E301A13"/>
    <w:rsid w:val="3E3E1D53"/>
    <w:rsid w:val="3E404EF2"/>
    <w:rsid w:val="3E437D22"/>
    <w:rsid w:val="3E490ABE"/>
    <w:rsid w:val="3E4B58A5"/>
    <w:rsid w:val="3E4C0E6C"/>
    <w:rsid w:val="3E53187B"/>
    <w:rsid w:val="3E546499"/>
    <w:rsid w:val="3E62636E"/>
    <w:rsid w:val="3E6334E7"/>
    <w:rsid w:val="3E6E10B1"/>
    <w:rsid w:val="3E745AD7"/>
    <w:rsid w:val="3E756A36"/>
    <w:rsid w:val="3E7A3435"/>
    <w:rsid w:val="3E8310AF"/>
    <w:rsid w:val="3E83486D"/>
    <w:rsid w:val="3E87638D"/>
    <w:rsid w:val="3E8811DA"/>
    <w:rsid w:val="3E881D39"/>
    <w:rsid w:val="3E8F41FB"/>
    <w:rsid w:val="3E924FCB"/>
    <w:rsid w:val="3E947253"/>
    <w:rsid w:val="3E95202F"/>
    <w:rsid w:val="3E9B2286"/>
    <w:rsid w:val="3EBF73D4"/>
    <w:rsid w:val="3EC45D50"/>
    <w:rsid w:val="3ED82EAE"/>
    <w:rsid w:val="3ED8326F"/>
    <w:rsid w:val="3EDA4ED4"/>
    <w:rsid w:val="3EE21837"/>
    <w:rsid w:val="3EE768AB"/>
    <w:rsid w:val="3F00466A"/>
    <w:rsid w:val="3F327526"/>
    <w:rsid w:val="3F3349D4"/>
    <w:rsid w:val="3F3910CE"/>
    <w:rsid w:val="3F3F2C65"/>
    <w:rsid w:val="3F430284"/>
    <w:rsid w:val="3F443D56"/>
    <w:rsid w:val="3F44774C"/>
    <w:rsid w:val="3F575327"/>
    <w:rsid w:val="3F5D7C13"/>
    <w:rsid w:val="3F6039C2"/>
    <w:rsid w:val="3F690816"/>
    <w:rsid w:val="3F6B2844"/>
    <w:rsid w:val="3F6F42E2"/>
    <w:rsid w:val="3F8A3F1C"/>
    <w:rsid w:val="3F9149C7"/>
    <w:rsid w:val="3F94295F"/>
    <w:rsid w:val="3FA27F16"/>
    <w:rsid w:val="3FA52C08"/>
    <w:rsid w:val="3FAA0457"/>
    <w:rsid w:val="3FAA7193"/>
    <w:rsid w:val="3FAB6710"/>
    <w:rsid w:val="3FB62E0C"/>
    <w:rsid w:val="3FB926FD"/>
    <w:rsid w:val="3FBFD4FA"/>
    <w:rsid w:val="3FC90DC4"/>
    <w:rsid w:val="3FEE1178"/>
    <w:rsid w:val="3FF67181"/>
    <w:rsid w:val="3FFA1375"/>
    <w:rsid w:val="400659DE"/>
    <w:rsid w:val="40117C4C"/>
    <w:rsid w:val="401502FB"/>
    <w:rsid w:val="40245922"/>
    <w:rsid w:val="403F3E6D"/>
    <w:rsid w:val="404E3A3A"/>
    <w:rsid w:val="40585BBC"/>
    <w:rsid w:val="40616001"/>
    <w:rsid w:val="40636569"/>
    <w:rsid w:val="4068695F"/>
    <w:rsid w:val="406A16BE"/>
    <w:rsid w:val="406B5231"/>
    <w:rsid w:val="406C2120"/>
    <w:rsid w:val="4079717E"/>
    <w:rsid w:val="409D2F5B"/>
    <w:rsid w:val="40A135BD"/>
    <w:rsid w:val="40BA07EF"/>
    <w:rsid w:val="40C43051"/>
    <w:rsid w:val="40C9753F"/>
    <w:rsid w:val="40CA688F"/>
    <w:rsid w:val="40DD4D48"/>
    <w:rsid w:val="40F20C16"/>
    <w:rsid w:val="40FD3FE9"/>
    <w:rsid w:val="41006B4E"/>
    <w:rsid w:val="410435E7"/>
    <w:rsid w:val="411B167B"/>
    <w:rsid w:val="41223E7F"/>
    <w:rsid w:val="41296DAC"/>
    <w:rsid w:val="41301C9A"/>
    <w:rsid w:val="41355A90"/>
    <w:rsid w:val="415037DD"/>
    <w:rsid w:val="4168365C"/>
    <w:rsid w:val="4173703A"/>
    <w:rsid w:val="4176657D"/>
    <w:rsid w:val="41786190"/>
    <w:rsid w:val="41884770"/>
    <w:rsid w:val="418859D6"/>
    <w:rsid w:val="41943C55"/>
    <w:rsid w:val="419E6F42"/>
    <w:rsid w:val="41AA277F"/>
    <w:rsid w:val="41AC7EAB"/>
    <w:rsid w:val="41AF2E7C"/>
    <w:rsid w:val="41B2786C"/>
    <w:rsid w:val="41B50C94"/>
    <w:rsid w:val="41B72A7E"/>
    <w:rsid w:val="41F421B9"/>
    <w:rsid w:val="42006813"/>
    <w:rsid w:val="420B0E7B"/>
    <w:rsid w:val="42104685"/>
    <w:rsid w:val="421175BD"/>
    <w:rsid w:val="421654C9"/>
    <w:rsid w:val="42262641"/>
    <w:rsid w:val="42340929"/>
    <w:rsid w:val="423A6E13"/>
    <w:rsid w:val="424005B8"/>
    <w:rsid w:val="425830C6"/>
    <w:rsid w:val="425E55AA"/>
    <w:rsid w:val="42723EF2"/>
    <w:rsid w:val="427341A8"/>
    <w:rsid w:val="42785161"/>
    <w:rsid w:val="42866868"/>
    <w:rsid w:val="428D023C"/>
    <w:rsid w:val="42A3581E"/>
    <w:rsid w:val="42B72071"/>
    <w:rsid w:val="42C32D3C"/>
    <w:rsid w:val="42C5222D"/>
    <w:rsid w:val="42D37638"/>
    <w:rsid w:val="42D850CA"/>
    <w:rsid w:val="42E23B41"/>
    <w:rsid w:val="42E42CCB"/>
    <w:rsid w:val="42E55112"/>
    <w:rsid w:val="42FE1677"/>
    <w:rsid w:val="42FE37FF"/>
    <w:rsid w:val="42FE3CD3"/>
    <w:rsid w:val="430102C8"/>
    <w:rsid w:val="43144687"/>
    <w:rsid w:val="432E04F8"/>
    <w:rsid w:val="4330156F"/>
    <w:rsid w:val="43344CFF"/>
    <w:rsid w:val="4340655B"/>
    <w:rsid w:val="434F17F6"/>
    <w:rsid w:val="43501147"/>
    <w:rsid w:val="435036B6"/>
    <w:rsid w:val="43533305"/>
    <w:rsid w:val="4357461E"/>
    <w:rsid w:val="4364117A"/>
    <w:rsid w:val="43690322"/>
    <w:rsid w:val="43781220"/>
    <w:rsid w:val="438B0488"/>
    <w:rsid w:val="439F4200"/>
    <w:rsid w:val="43A95524"/>
    <w:rsid w:val="43AB322D"/>
    <w:rsid w:val="43B12B00"/>
    <w:rsid w:val="43B81849"/>
    <w:rsid w:val="43B859E4"/>
    <w:rsid w:val="43C517AE"/>
    <w:rsid w:val="43CE0E92"/>
    <w:rsid w:val="43D50FC7"/>
    <w:rsid w:val="43D559BD"/>
    <w:rsid w:val="43D61CCF"/>
    <w:rsid w:val="43E602DA"/>
    <w:rsid w:val="43EB7D9D"/>
    <w:rsid w:val="43F32E89"/>
    <w:rsid w:val="43F3631D"/>
    <w:rsid w:val="43F37296"/>
    <w:rsid w:val="44052611"/>
    <w:rsid w:val="440E3D7B"/>
    <w:rsid w:val="44177BC5"/>
    <w:rsid w:val="441E54AB"/>
    <w:rsid w:val="442C18EF"/>
    <w:rsid w:val="44344BE9"/>
    <w:rsid w:val="44385893"/>
    <w:rsid w:val="44625F23"/>
    <w:rsid w:val="44646C67"/>
    <w:rsid w:val="44772335"/>
    <w:rsid w:val="44773462"/>
    <w:rsid w:val="448330A8"/>
    <w:rsid w:val="448E23D7"/>
    <w:rsid w:val="44A20B51"/>
    <w:rsid w:val="44B736FA"/>
    <w:rsid w:val="44BC57E2"/>
    <w:rsid w:val="44C1237B"/>
    <w:rsid w:val="44DF7E23"/>
    <w:rsid w:val="44EF7CD0"/>
    <w:rsid w:val="44F85735"/>
    <w:rsid w:val="45090814"/>
    <w:rsid w:val="450A2511"/>
    <w:rsid w:val="450B601E"/>
    <w:rsid w:val="451309A3"/>
    <w:rsid w:val="451502D8"/>
    <w:rsid w:val="451D14F1"/>
    <w:rsid w:val="451F5306"/>
    <w:rsid w:val="45237196"/>
    <w:rsid w:val="453F0FCB"/>
    <w:rsid w:val="45467186"/>
    <w:rsid w:val="454A452D"/>
    <w:rsid w:val="455926D6"/>
    <w:rsid w:val="4561181B"/>
    <w:rsid w:val="456F5BF8"/>
    <w:rsid w:val="457C29E0"/>
    <w:rsid w:val="457E59E7"/>
    <w:rsid w:val="45817197"/>
    <w:rsid w:val="45885326"/>
    <w:rsid w:val="45A24952"/>
    <w:rsid w:val="45A57BAB"/>
    <w:rsid w:val="45A87057"/>
    <w:rsid w:val="45B43E2A"/>
    <w:rsid w:val="45BD7EF6"/>
    <w:rsid w:val="45CE13D6"/>
    <w:rsid w:val="45D5137F"/>
    <w:rsid w:val="45D56ADC"/>
    <w:rsid w:val="45E20FEE"/>
    <w:rsid w:val="45E45053"/>
    <w:rsid w:val="45E510BA"/>
    <w:rsid w:val="45EB618E"/>
    <w:rsid w:val="45EB6847"/>
    <w:rsid w:val="45EC3FBD"/>
    <w:rsid w:val="45F57156"/>
    <w:rsid w:val="45F92E2C"/>
    <w:rsid w:val="45FD79E7"/>
    <w:rsid w:val="4604448E"/>
    <w:rsid w:val="46050349"/>
    <w:rsid w:val="460B1E86"/>
    <w:rsid w:val="4611533D"/>
    <w:rsid w:val="46221289"/>
    <w:rsid w:val="46271886"/>
    <w:rsid w:val="463070B6"/>
    <w:rsid w:val="463209C2"/>
    <w:rsid w:val="46331B3D"/>
    <w:rsid w:val="463E4B6F"/>
    <w:rsid w:val="46416B21"/>
    <w:rsid w:val="46513DDF"/>
    <w:rsid w:val="46516218"/>
    <w:rsid w:val="46545224"/>
    <w:rsid w:val="4660050C"/>
    <w:rsid w:val="466351F0"/>
    <w:rsid w:val="46757C31"/>
    <w:rsid w:val="467A433C"/>
    <w:rsid w:val="46823D4A"/>
    <w:rsid w:val="46895D47"/>
    <w:rsid w:val="469A76DB"/>
    <w:rsid w:val="469B0D50"/>
    <w:rsid w:val="46A05E0A"/>
    <w:rsid w:val="46AA764C"/>
    <w:rsid w:val="46B80111"/>
    <w:rsid w:val="46BB6E6B"/>
    <w:rsid w:val="46BC111E"/>
    <w:rsid w:val="46BC5847"/>
    <w:rsid w:val="46C05415"/>
    <w:rsid w:val="46C51269"/>
    <w:rsid w:val="46D54246"/>
    <w:rsid w:val="46DB614F"/>
    <w:rsid w:val="46DB7138"/>
    <w:rsid w:val="46F956FF"/>
    <w:rsid w:val="47037841"/>
    <w:rsid w:val="470904F4"/>
    <w:rsid w:val="470E1780"/>
    <w:rsid w:val="4711714F"/>
    <w:rsid w:val="47294356"/>
    <w:rsid w:val="472C2C72"/>
    <w:rsid w:val="47363F58"/>
    <w:rsid w:val="473E1095"/>
    <w:rsid w:val="47420E66"/>
    <w:rsid w:val="475467FE"/>
    <w:rsid w:val="4760210A"/>
    <w:rsid w:val="476E3313"/>
    <w:rsid w:val="476E4AC5"/>
    <w:rsid w:val="47733871"/>
    <w:rsid w:val="47762884"/>
    <w:rsid w:val="47766014"/>
    <w:rsid w:val="477B0118"/>
    <w:rsid w:val="477B17BB"/>
    <w:rsid w:val="477E6F14"/>
    <w:rsid w:val="477F04A9"/>
    <w:rsid w:val="478104EB"/>
    <w:rsid w:val="47864AE0"/>
    <w:rsid w:val="47875F98"/>
    <w:rsid w:val="479579B0"/>
    <w:rsid w:val="47967E44"/>
    <w:rsid w:val="479768CD"/>
    <w:rsid w:val="47995DF5"/>
    <w:rsid w:val="47AC4635"/>
    <w:rsid w:val="47B61C6F"/>
    <w:rsid w:val="47D55DFF"/>
    <w:rsid w:val="47DA5F6C"/>
    <w:rsid w:val="47F07063"/>
    <w:rsid w:val="47F667AC"/>
    <w:rsid w:val="47FC0C40"/>
    <w:rsid w:val="47FF4932"/>
    <w:rsid w:val="48123E17"/>
    <w:rsid w:val="481935D8"/>
    <w:rsid w:val="48212E04"/>
    <w:rsid w:val="482B699A"/>
    <w:rsid w:val="482E678E"/>
    <w:rsid w:val="482E7459"/>
    <w:rsid w:val="48421C63"/>
    <w:rsid w:val="4853230C"/>
    <w:rsid w:val="4860400C"/>
    <w:rsid w:val="486974E6"/>
    <w:rsid w:val="48720AAD"/>
    <w:rsid w:val="48730214"/>
    <w:rsid w:val="487835F2"/>
    <w:rsid w:val="48816EF5"/>
    <w:rsid w:val="4889710F"/>
    <w:rsid w:val="489A58E4"/>
    <w:rsid w:val="48A24875"/>
    <w:rsid w:val="48B55277"/>
    <w:rsid w:val="48BF7AFB"/>
    <w:rsid w:val="48CB5887"/>
    <w:rsid w:val="48D75E9C"/>
    <w:rsid w:val="48DD58AD"/>
    <w:rsid w:val="48DE36D8"/>
    <w:rsid w:val="48ED69B7"/>
    <w:rsid w:val="48FD1B2E"/>
    <w:rsid w:val="48FD7CFE"/>
    <w:rsid w:val="49085429"/>
    <w:rsid w:val="49181DB0"/>
    <w:rsid w:val="491B064B"/>
    <w:rsid w:val="49244F48"/>
    <w:rsid w:val="492B0AC8"/>
    <w:rsid w:val="492F17BC"/>
    <w:rsid w:val="4932317A"/>
    <w:rsid w:val="493D2AC3"/>
    <w:rsid w:val="494809DB"/>
    <w:rsid w:val="49481DBE"/>
    <w:rsid w:val="4964159C"/>
    <w:rsid w:val="496F5FB7"/>
    <w:rsid w:val="49793056"/>
    <w:rsid w:val="498D4132"/>
    <w:rsid w:val="49932E45"/>
    <w:rsid w:val="4993704F"/>
    <w:rsid w:val="499C798B"/>
    <w:rsid w:val="49A346C1"/>
    <w:rsid w:val="49AB6A49"/>
    <w:rsid w:val="49B1360A"/>
    <w:rsid w:val="49B27C62"/>
    <w:rsid w:val="49B70645"/>
    <w:rsid w:val="49BA290F"/>
    <w:rsid w:val="49C1268F"/>
    <w:rsid w:val="49C34C45"/>
    <w:rsid w:val="49D71E7B"/>
    <w:rsid w:val="49E13015"/>
    <w:rsid w:val="49EE19E0"/>
    <w:rsid w:val="49F64E79"/>
    <w:rsid w:val="49FC7627"/>
    <w:rsid w:val="4A1F7EB0"/>
    <w:rsid w:val="4A277582"/>
    <w:rsid w:val="4A282DB9"/>
    <w:rsid w:val="4A323A22"/>
    <w:rsid w:val="4A33120A"/>
    <w:rsid w:val="4A3C6839"/>
    <w:rsid w:val="4A4D3403"/>
    <w:rsid w:val="4A5A263E"/>
    <w:rsid w:val="4A6F188B"/>
    <w:rsid w:val="4A710911"/>
    <w:rsid w:val="4A726BAA"/>
    <w:rsid w:val="4A7346B1"/>
    <w:rsid w:val="4A7F7F18"/>
    <w:rsid w:val="4A82335D"/>
    <w:rsid w:val="4A826493"/>
    <w:rsid w:val="4A852A8D"/>
    <w:rsid w:val="4A952667"/>
    <w:rsid w:val="4A963422"/>
    <w:rsid w:val="4A9D34B8"/>
    <w:rsid w:val="4AA22C7D"/>
    <w:rsid w:val="4AA822D9"/>
    <w:rsid w:val="4AC22034"/>
    <w:rsid w:val="4AED6579"/>
    <w:rsid w:val="4AF95546"/>
    <w:rsid w:val="4AFB588F"/>
    <w:rsid w:val="4B0C2494"/>
    <w:rsid w:val="4B217B57"/>
    <w:rsid w:val="4B411887"/>
    <w:rsid w:val="4B47685E"/>
    <w:rsid w:val="4B502B24"/>
    <w:rsid w:val="4B564A6F"/>
    <w:rsid w:val="4B5A725D"/>
    <w:rsid w:val="4B626B3A"/>
    <w:rsid w:val="4B68745B"/>
    <w:rsid w:val="4B6C796D"/>
    <w:rsid w:val="4B721F00"/>
    <w:rsid w:val="4B83419F"/>
    <w:rsid w:val="4B917087"/>
    <w:rsid w:val="4BA229EF"/>
    <w:rsid w:val="4BA44E68"/>
    <w:rsid w:val="4BAB0466"/>
    <w:rsid w:val="4BAB57EF"/>
    <w:rsid w:val="4BBD7DA8"/>
    <w:rsid w:val="4BC91B09"/>
    <w:rsid w:val="4BD775FC"/>
    <w:rsid w:val="4BDD47F4"/>
    <w:rsid w:val="4BE978A5"/>
    <w:rsid w:val="4BF04A72"/>
    <w:rsid w:val="4BF86D6D"/>
    <w:rsid w:val="4C0739EE"/>
    <w:rsid w:val="4C143394"/>
    <w:rsid w:val="4C196BB9"/>
    <w:rsid w:val="4C2D64CC"/>
    <w:rsid w:val="4C352404"/>
    <w:rsid w:val="4C3C28EB"/>
    <w:rsid w:val="4C3D4357"/>
    <w:rsid w:val="4C49748B"/>
    <w:rsid w:val="4C497712"/>
    <w:rsid w:val="4C58766F"/>
    <w:rsid w:val="4C5A5BD4"/>
    <w:rsid w:val="4C6C771F"/>
    <w:rsid w:val="4C6D0CF6"/>
    <w:rsid w:val="4C6F0317"/>
    <w:rsid w:val="4C827C94"/>
    <w:rsid w:val="4C8368DB"/>
    <w:rsid w:val="4C86237E"/>
    <w:rsid w:val="4C8768B8"/>
    <w:rsid w:val="4C892A80"/>
    <w:rsid w:val="4C903ABD"/>
    <w:rsid w:val="4CAC6F86"/>
    <w:rsid w:val="4CB571EA"/>
    <w:rsid w:val="4CEE5D49"/>
    <w:rsid w:val="4CF77C53"/>
    <w:rsid w:val="4CFC0809"/>
    <w:rsid w:val="4D000F8C"/>
    <w:rsid w:val="4D0067D5"/>
    <w:rsid w:val="4D065468"/>
    <w:rsid w:val="4D2266CA"/>
    <w:rsid w:val="4D2E321B"/>
    <w:rsid w:val="4D3C02CE"/>
    <w:rsid w:val="4D446D1F"/>
    <w:rsid w:val="4D4705FD"/>
    <w:rsid w:val="4D473919"/>
    <w:rsid w:val="4D491497"/>
    <w:rsid w:val="4D5962AF"/>
    <w:rsid w:val="4D5E2AFB"/>
    <w:rsid w:val="4D717EDF"/>
    <w:rsid w:val="4D7F6F33"/>
    <w:rsid w:val="4D8219CC"/>
    <w:rsid w:val="4D9D711E"/>
    <w:rsid w:val="4D9E15F1"/>
    <w:rsid w:val="4D9E7167"/>
    <w:rsid w:val="4DA37D6C"/>
    <w:rsid w:val="4DB957A7"/>
    <w:rsid w:val="4DBB1783"/>
    <w:rsid w:val="4DC46C73"/>
    <w:rsid w:val="4DCD7C9F"/>
    <w:rsid w:val="4DD245BF"/>
    <w:rsid w:val="4DEC722B"/>
    <w:rsid w:val="4DEE4574"/>
    <w:rsid w:val="4DEE5B0A"/>
    <w:rsid w:val="4DFD1E0B"/>
    <w:rsid w:val="4E0566D6"/>
    <w:rsid w:val="4E095A16"/>
    <w:rsid w:val="4E096E4E"/>
    <w:rsid w:val="4E1217EE"/>
    <w:rsid w:val="4E183C69"/>
    <w:rsid w:val="4E2E41E6"/>
    <w:rsid w:val="4E3020D1"/>
    <w:rsid w:val="4E336239"/>
    <w:rsid w:val="4E360A67"/>
    <w:rsid w:val="4E3911A8"/>
    <w:rsid w:val="4E392040"/>
    <w:rsid w:val="4E3E74F2"/>
    <w:rsid w:val="4E491CCC"/>
    <w:rsid w:val="4E4D3DC5"/>
    <w:rsid w:val="4E4D7FC7"/>
    <w:rsid w:val="4E595274"/>
    <w:rsid w:val="4E685A60"/>
    <w:rsid w:val="4E7504EE"/>
    <w:rsid w:val="4E83492A"/>
    <w:rsid w:val="4E8C3510"/>
    <w:rsid w:val="4EBD2950"/>
    <w:rsid w:val="4EC042E4"/>
    <w:rsid w:val="4EC84E18"/>
    <w:rsid w:val="4ECA15BA"/>
    <w:rsid w:val="4ED60D59"/>
    <w:rsid w:val="4ED8514A"/>
    <w:rsid w:val="4ED866EB"/>
    <w:rsid w:val="4EE41892"/>
    <w:rsid w:val="4EE971D4"/>
    <w:rsid w:val="4EED488B"/>
    <w:rsid w:val="4EF45944"/>
    <w:rsid w:val="4F021BCA"/>
    <w:rsid w:val="4F027C1A"/>
    <w:rsid w:val="4F05591F"/>
    <w:rsid w:val="4F067289"/>
    <w:rsid w:val="4F0F5AC0"/>
    <w:rsid w:val="4F1D0CB2"/>
    <w:rsid w:val="4F354C7F"/>
    <w:rsid w:val="4F3F3010"/>
    <w:rsid w:val="4F4A5536"/>
    <w:rsid w:val="4F516B7D"/>
    <w:rsid w:val="4F5C20BE"/>
    <w:rsid w:val="4F722E88"/>
    <w:rsid w:val="4F800A87"/>
    <w:rsid w:val="4F951F9D"/>
    <w:rsid w:val="4F95697F"/>
    <w:rsid w:val="4F987A94"/>
    <w:rsid w:val="4FA06485"/>
    <w:rsid w:val="4FA230B5"/>
    <w:rsid w:val="4FB25D36"/>
    <w:rsid w:val="4FB600AC"/>
    <w:rsid w:val="4FB74DCE"/>
    <w:rsid w:val="4FBD3F4A"/>
    <w:rsid w:val="4FCF5C77"/>
    <w:rsid w:val="4FCF79B6"/>
    <w:rsid w:val="4FDC4193"/>
    <w:rsid w:val="4FE06F43"/>
    <w:rsid w:val="4FE1408D"/>
    <w:rsid w:val="4FF87BDA"/>
    <w:rsid w:val="4FFB56B9"/>
    <w:rsid w:val="4FFC1C0F"/>
    <w:rsid w:val="4FFFDF46"/>
    <w:rsid w:val="501702A0"/>
    <w:rsid w:val="501B03E2"/>
    <w:rsid w:val="501F6BFB"/>
    <w:rsid w:val="50235513"/>
    <w:rsid w:val="502E071A"/>
    <w:rsid w:val="50372B46"/>
    <w:rsid w:val="5038102A"/>
    <w:rsid w:val="50533D7A"/>
    <w:rsid w:val="505470BC"/>
    <w:rsid w:val="5055041F"/>
    <w:rsid w:val="505A7CD1"/>
    <w:rsid w:val="505F5948"/>
    <w:rsid w:val="507B05D5"/>
    <w:rsid w:val="507E4835"/>
    <w:rsid w:val="50826DEB"/>
    <w:rsid w:val="508720AA"/>
    <w:rsid w:val="509B4624"/>
    <w:rsid w:val="50A97106"/>
    <w:rsid w:val="50AC6DEA"/>
    <w:rsid w:val="50C27FB4"/>
    <w:rsid w:val="50C82E97"/>
    <w:rsid w:val="50D07326"/>
    <w:rsid w:val="50D11DA1"/>
    <w:rsid w:val="50D643AB"/>
    <w:rsid w:val="50D95330"/>
    <w:rsid w:val="50F06BCF"/>
    <w:rsid w:val="50F07B2B"/>
    <w:rsid w:val="51131C92"/>
    <w:rsid w:val="51146B7A"/>
    <w:rsid w:val="511C55E6"/>
    <w:rsid w:val="512658C1"/>
    <w:rsid w:val="5133548C"/>
    <w:rsid w:val="5135497A"/>
    <w:rsid w:val="513F1A03"/>
    <w:rsid w:val="51402C4C"/>
    <w:rsid w:val="51413A5A"/>
    <w:rsid w:val="514424DF"/>
    <w:rsid w:val="514E72BF"/>
    <w:rsid w:val="51612BE6"/>
    <w:rsid w:val="516A593E"/>
    <w:rsid w:val="51711C0D"/>
    <w:rsid w:val="5173552E"/>
    <w:rsid w:val="518D5DD1"/>
    <w:rsid w:val="51A50DBB"/>
    <w:rsid w:val="51C838A7"/>
    <w:rsid w:val="51CE5746"/>
    <w:rsid w:val="51D14F11"/>
    <w:rsid w:val="51DC381E"/>
    <w:rsid w:val="51DF30F8"/>
    <w:rsid w:val="51EF2466"/>
    <w:rsid w:val="51F76001"/>
    <w:rsid w:val="52021276"/>
    <w:rsid w:val="521157BD"/>
    <w:rsid w:val="5212300D"/>
    <w:rsid w:val="522159A7"/>
    <w:rsid w:val="523D6662"/>
    <w:rsid w:val="523E6D57"/>
    <w:rsid w:val="523F2AE5"/>
    <w:rsid w:val="524143B1"/>
    <w:rsid w:val="5242502D"/>
    <w:rsid w:val="52444927"/>
    <w:rsid w:val="524A75DA"/>
    <w:rsid w:val="5262601D"/>
    <w:rsid w:val="526C173C"/>
    <w:rsid w:val="527145A6"/>
    <w:rsid w:val="52784DBB"/>
    <w:rsid w:val="527F1DD2"/>
    <w:rsid w:val="528176BB"/>
    <w:rsid w:val="52822B47"/>
    <w:rsid w:val="52900B68"/>
    <w:rsid w:val="52925E66"/>
    <w:rsid w:val="529B2122"/>
    <w:rsid w:val="52A35472"/>
    <w:rsid w:val="52A70EAB"/>
    <w:rsid w:val="52A94C11"/>
    <w:rsid w:val="52AA100F"/>
    <w:rsid w:val="52AA1B6E"/>
    <w:rsid w:val="52BC7BD7"/>
    <w:rsid w:val="52C67C23"/>
    <w:rsid w:val="52F26CA4"/>
    <w:rsid w:val="52F30EA2"/>
    <w:rsid w:val="52FD1663"/>
    <w:rsid w:val="531145F2"/>
    <w:rsid w:val="53191BB3"/>
    <w:rsid w:val="531C7443"/>
    <w:rsid w:val="53205D51"/>
    <w:rsid w:val="53231A14"/>
    <w:rsid w:val="5328717E"/>
    <w:rsid w:val="53290C61"/>
    <w:rsid w:val="53405E30"/>
    <w:rsid w:val="534B125D"/>
    <w:rsid w:val="534D2DEB"/>
    <w:rsid w:val="535E53F3"/>
    <w:rsid w:val="536319B2"/>
    <w:rsid w:val="53677922"/>
    <w:rsid w:val="53807561"/>
    <w:rsid w:val="538C44CC"/>
    <w:rsid w:val="539B3A61"/>
    <w:rsid w:val="53A32CE0"/>
    <w:rsid w:val="53A60870"/>
    <w:rsid w:val="53A84C0C"/>
    <w:rsid w:val="53A96F53"/>
    <w:rsid w:val="53AE0572"/>
    <w:rsid w:val="53BA3521"/>
    <w:rsid w:val="53C34865"/>
    <w:rsid w:val="53D32684"/>
    <w:rsid w:val="53DA18AC"/>
    <w:rsid w:val="53DB6C22"/>
    <w:rsid w:val="53E45AB6"/>
    <w:rsid w:val="540135DE"/>
    <w:rsid w:val="54033BCE"/>
    <w:rsid w:val="5404740F"/>
    <w:rsid w:val="54102D6B"/>
    <w:rsid w:val="54131712"/>
    <w:rsid w:val="542F2E0F"/>
    <w:rsid w:val="543E4A86"/>
    <w:rsid w:val="54476F4C"/>
    <w:rsid w:val="54481628"/>
    <w:rsid w:val="54604543"/>
    <w:rsid w:val="546B0211"/>
    <w:rsid w:val="547D6C97"/>
    <w:rsid w:val="547E642B"/>
    <w:rsid w:val="54862681"/>
    <w:rsid w:val="549A5809"/>
    <w:rsid w:val="54AD34C4"/>
    <w:rsid w:val="54B40048"/>
    <w:rsid w:val="54B43F95"/>
    <w:rsid w:val="54BA216B"/>
    <w:rsid w:val="54BE6F73"/>
    <w:rsid w:val="54C221A8"/>
    <w:rsid w:val="54CF6A17"/>
    <w:rsid w:val="54D046EF"/>
    <w:rsid w:val="54D951F4"/>
    <w:rsid w:val="54E74514"/>
    <w:rsid w:val="54EA5895"/>
    <w:rsid w:val="54F14D1E"/>
    <w:rsid w:val="5508132B"/>
    <w:rsid w:val="55086215"/>
    <w:rsid w:val="550A4657"/>
    <w:rsid w:val="55180218"/>
    <w:rsid w:val="551F2C7C"/>
    <w:rsid w:val="5520492E"/>
    <w:rsid w:val="55287769"/>
    <w:rsid w:val="553B071F"/>
    <w:rsid w:val="553C778E"/>
    <w:rsid w:val="554002AB"/>
    <w:rsid w:val="555161D1"/>
    <w:rsid w:val="556E1A9F"/>
    <w:rsid w:val="55752A19"/>
    <w:rsid w:val="557A5B83"/>
    <w:rsid w:val="558215F4"/>
    <w:rsid w:val="55841307"/>
    <w:rsid w:val="55962FE0"/>
    <w:rsid w:val="559D2106"/>
    <w:rsid w:val="55A10DF0"/>
    <w:rsid w:val="55A175A6"/>
    <w:rsid w:val="55B042F8"/>
    <w:rsid w:val="55B1402D"/>
    <w:rsid w:val="55B675B3"/>
    <w:rsid w:val="55C037D5"/>
    <w:rsid w:val="55C6402C"/>
    <w:rsid w:val="55C70156"/>
    <w:rsid w:val="55CF5599"/>
    <w:rsid w:val="55D67B10"/>
    <w:rsid w:val="55F22C62"/>
    <w:rsid w:val="55F23D8E"/>
    <w:rsid w:val="5603771C"/>
    <w:rsid w:val="56090B83"/>
    <w:rsid w:val="56095E39"/>
    <w:rsid w:val="56195637"/>
    <w:rsid w:val="561C2F39"/>
    <w:rsid w:val="56262013"/>
    <w:rsid w:val="56383558"/>
    <w:rsid w:val="564505F2"/>
    <w:rsid w:val="564E6110"/>
    <w:rsid w:val="56635D9C"/>
    <w:rsid w:val="56637A51"/>
    <w:rsid w:val="566540CD"/>
    <w:rsid w:val="56661347"/>
    <w:rsid w:val="5673006D"/>
    <w:rsid w:val="56752933"/>
    <w:rsid w:val="567F1C71"/>
    <w:rsid w:val="568156EF"/>
    <w:rsid w:val="568F3B46"/>
    <w:rsid w:val="56981066"/>
    <w:rsid w:val="56AC0B8E"/>
    <w:rsid w:val="56AF53A0"/>
    <w:rsid w:val="56B1297D"/>
    <w:rsid w:val="56B15EB0"/>
    <w:rsid w:val="56B860D6"/>
    <w:rsid w:val="56B95D55"/>
    <w:rsid w:val="56C13D92"/>
    <w:rsid w:val="56CB5551"/>
    <w:rsid w:val="56CD3D82"/>
    <w:rsid w:val="56D415D4"/>
    <w:rsid w:val="56DD12E5"/>
    <w:rsid w:val="56E0462C"/>
    <w:rsid w:val="570039CC"/>
    <w:rsid w:val="570109B9"/>
    <w:rsid w:val="57101F87"/>
    <w:rsid w:val="57131037"/>
    <w:rsid w:val="571F10B8"/>
    <w:rsid w:val="57283CBF"/>
    <w:rsid w:val="5728768E"/>
    <w:rsid w:val="573A1EEA"/>
    <w:rsid w:val="573B6D22"/>
    <w:rsid w:val="573C69E9"/>
    <w:rsid w:val="57414EB5"/>
    <w:rsid w:val="57421428"/>
    <w:rsid w:val="575B6C94"/>
    <w:rsid w:val="5762338F"/>
    <w:rsid w:val="577F5788"/>
    <w:rsid w:val="578A71ED"/>
    <w:rsid w:val="578C4726"/>
    <w:rsid w:val="57A203EE"/>
    <w:rsid w:val="57A45773"/>
    <w:rsid w:val="57A45A0B"/>
    <w:rsid w:val="57B71C0C"/>
    <w:rsid w:val="57B721EE"/>
    <w:rsid w:val="57B74EC7"/>
    <w:rsid w:val="57BB00A2"/>
    <w:rsid w:val="57DF393A"/>
    <w:rsid w:val="57EE550F"/>
    <w:rsid w:val="57F94210"/>
    <w:rsid w:val="58140DF3"/>
    <w:rsid w:val="581A6C16"/>
    <w:rsid w:val="581C4BA4"/>
    <w:rsid w:val="582A31B3"/>
    <w:rsid w:val="582C5C37"/>
    <w:rsid w:val="584C096E"/>
    <w:rsid w:val="584D6A82"/>
    <w:rsid w:val="585B4CE0"/>
    <w:rsid w:val="58615A94"/>
    <w:rsid w:val="58695A9C"/>
    <w:rsid w:val="586C6306"/>
    <w:rsid w:val="587030DA"/>
    <w:rsid w:val="58800A8A"/>
    <w:rsid w:val="588333E5"/>
    <w:rsid w:val="58866BAF"/>
    <w:rsid w:val="58945C49"/>
    <w:rsid w:val="589505C6"/>
    <w:rsid w:val="589711FB"/>
    <w:rsid w:val="58A127C2"/>
    <w:rsid w:val="58A35A33"/>
    <w:rsid w:val="58AA7D56"/>
    <w:rsid w:val="58AB0D0C"/>
    <w:rsid w:val="58AF3175"/>
    <w:rsid w:val="58C44A83"/>
    <w:rsid w:val="58CD6C54"/>
    <w:rsid w:val="58D13774"/>
    <w:rsid w:val="58FB7105"/>
    <w:rsid w:val="58FF1FF9"/>
    <w:rsid w:val="59050C0F"/>
    <w:rsid w:val="590D1A69"/>
    <w:rsid w:val="592E0A74"/>
    <w:rsid w:val="593C4741"/>
    <w:rsid w:val="593E2878"/>
    <w:rsid w:val="595F5895"/>
    <w:rsid w:val="59623B23"/>
    <w:rsid w:val="596318B0"/>
    <w:rsid w:val="59791C33"/>
    <w:rsid w:val="598A75B5"/>
    <w:rsid w:val="59A05222"/>
    <w:rsid w:val="59A76EDA"/>
    <w:rsid w:val="59B2747D"/>
    <w:rsid w:val="59B82021"/>
    <w:rsid w:val="59C85BBA"/>
    <w:rsid w:val="59D845CF"/>
    <w:rsid w:val="59F91F3B"/>
    <w:rsid w:val="5A0969B1"/>
    <w:rsid w:val="5A136829"/>
    <w:rsid w:val="5A146C55"/>
    <w:rsid w:val="5A190D89"/>
    <w:rsid w:val="5A1C5F95"/>
    <w:rsid w:val="5A251DB9"/>
    <w:rsid w:val="5A262941"/>
    <w:rsid w:val="5A266EA9"/>
    <w:rsid w:val="5A2A18C7"/>
    <w:rsid w:val="5A300FBB"/>
    <w:rsid w:val="5A3A1C71"/>
    <w:rsid w:val="5A3F4F1E"/>
    <w:rsid w:val="5A4B3BC7"/>
    <w:rsid w:val="5A543740"/>
    <w:rsid w:val="5A641ED4"/>
    <w:rsid w:val="5A7C7858"/>
    <w:rsid w:val="5A8048EE"/>
    <w:rsid w:val="5A930D03"/>
    <w:rsid w:val="5A944180"/>
    <w:rsid w:val="5AA575C5"/>
    <w:rsid w:val="5AC307B0"/>
    <w:rsid w:val="5AD0057B"/>
    <w:rsid w:val="5AEA2AEA"/>
    <w:rsid w:val="5AEA59DC"/>
    <w:rsid w:val="5AF2269E"/>
    <w:rsid w:val="5AF9704F"/>
    <w:rsid w:val="5AFF0206"/>
    <w:rsid w:val="5B011FEF"/>
    <w:rsid w:val="5B0C3FF1"/>
    <w:rsid w:val="5B0D19B0"/>
    <w:rsid w:val="5B105DCB"/>
    <w:rsid w:val="5B123746"/>
    <w:rsid w:val="5B1851FF"/>
    <w:rsid w:val="5B3004B5"/>
    <w:rsid w:val="5B346D26"/>
    <w:rsid w:val="5B3C78A1"/>
    <w:rsid w:val="5B451BE3"/>
    <w:rsid w:val="5B47552E"/>
    <w:rsid w:val="5B561B27"/>
    <w:rsid w:val="5B563865"/>
    <w:rsid w:val="5B5C718D"/>
    <w:rsid w:val="5B5F134F"/>
    <w:rsid w:val="5B60255A"/>
    <w:rsid w:val="5B614084"/>
    <w:rsid w:val="5B615779"/>
    <w:rsid w:val="5B640C41"/>
    <w:rsid w:val="5B7D7D38"/>
    <w:rsid w:val="5B8A50DE"/>
    <w:rsid w:val="5B8A693E"/>
    <w:rsid w:val="5B8E7AB3"/>
    <w:rsid w:val="5B9C643C"/>
    <w:rsid w:val="5B9D12E3"/>
    <w:rsid w:val="5BC64949"/>
    <w:rsid w:val="5BDC7CD1"/>
    <w:rsid w:val="5BE063FF"/>
    <w:rsid w:val="5BE20F62"/>
    <w:rsid w:val="5BE70177"/>
    <w:rsid w:val="5BF11975"/>
    <w:rsid w:val="5BF83A00"/>
    <w:rsid w:val="5BFD0E7B"/>
    <w:rsid w:val="5C0A71FC"/>
    <w:rsid w:val="5C1D44E7"/>
    <w:rsid w:val="5C335AD2"/>
    <w:rsid w:val="5C3E3E63"/>
    <w:rsid w:val="5C486627"/>
    <w:rsid w:val="5C49124A"/>
    <w:rsid w:val="5C4E35AF"/>
    <w:rsid w:val="5C5A5329"/>
    <w:rsid w:val="5C5C7D66"/>
    <w:rsid w:val="5C60422C"/>
    <w:rsid w:val="5C635AB0"/>
    <w:rsid w:val="5C646D44"/>
    <w:rsid w:val="5C647AF5"/>
    <w:rsid w:val="5C66535C"/>
    <w:rsid w:val="5C6755A7"/>
    <w:rsid w:val="5C6D424E"/>
    <w:rsid w:val="5C7929C3"/>
    <w:rsid w:val="5C832B3D"/>
    <w:rsid w:val="5C8A7F41"/>
    <w:rsid w:val="5C8C577B"/>
    <w:rsid w:val="5C916109"/>
    <w:rsid w:val="5C9C0F6E"/>
    <w:rsid w:val="5C9E1D55"/>
    <w:rsid w:val="5CA07506"/>
    <w:rsid w:val="5CA27C30"/>
    <w:rsid w:val="5CAF2E9D"/>
    <w:rsid w:val="5CBC6740"/>
    <w:rsid w:val="5CC326A2"/>
    <w:rsid w:val="5CC608C4"/>
    <w:rsid w:val="5CC837EE"/>
    <w:rsid w:val="5CCB1B67"/>
    <w:rsid w:val="5CD24156"/>
    <w:rsid w:val="5CD93AEF"/>
    <w:rsid w:val="5CDA3735"/>
    <w:rsid w:val="5CDF354A"/>
    <w:rsid w:val="5CE16EEF"/>
    <w:rsid w:val="5CE437F8"/>
    <w:rsid w:val="5CEB6FBB"/>
    <w:rsid w:val="5CEC59B4"/>
    <w:rsid w:val="5D050696"/>
    <w:rsid w:val="5D0D2094"/>
    <w:rsid w:val="5D0F1FBD"/>
    <w:rsid w:val="5D0F424E"/>
    <w:rsid w:val="5D1A5681"/>
    <w:rsid w:val="5D1E6FEC"/>
    <w:rsid w:val="5D2A05E8"/>
    <w:rsid w:val="5D2F4A70"/>
    <w:rsid w:val="5D384E5E"/>
    <w:rsid w:val="5D3F24FD"/>
    <w:rsid w:val="5D4069EC"/>
    <w:rsid w:val="5D424615"/>
    <w:rsid w:val="5D452035"/>
    <w:rsid w:val="5D472E6F"/>
    <w:rsid w:val="5D563779"/>
    <w:rsid w:val="5D584E0B"/>
    <w:rsid w:val="5D612CC1"/>
    <w:rsid w:val="5D7673E3"/>
    <w:rsid w:val="5D841F7C"/>
    <w:rsid w:val="5D842CD4"/>
    <w:rsid w:val="5D8B0DBF"/>
    <w:rsid w:val="5D9D63E1"/>
    <w:rsid w:val="5D9E3C43"/>
    <w:rsid w:val="5DBF12CC"/>
    <w:rsid w:val="5DDB4A18"/>
    <w:rsid w:val="5DE46A80"/>
    <w:rsid w:val="5DE95D92"/>
    <w:rsid w:val="5DEE3976"/>
    <w:rsid w:val="5DFB3C57"/>
    <w:rsid w:val="5E075358"/>
    <w:rsid w:val="5E1B2CA8"/>
    <w:rsid w:val="5E1C3178"/>
    <w:rsid w:val="5E2C368E"/>
    <w:rsid w:val="5E345375"/>
    <w:rsid w:val="5E37044A"/>
    <w:rsid w:val="5E4228B0"/>
    <w:rsid w:val="5E4552A1"/>
    <w:rsid w:val="5E4D1B34"/>
    <w:rsid w:val="5E4E1644"/>
    <w:rsid w:val="5E553788"/>
    <w:rsid w:val="5E5A17C1"/>
    <w:rsid w:val="5E653D3B"/>
    <w:rsid w:val="5E68756F"/>
    <w:rsid w:val="5E6B556E"/>
    <w:rsid w:val="5E6E2DD8"/>
    <w:rsid w:val="5E7548D4"/>
    <w:rsid w:val="5E771E14"/>
    <w:rsid w:val="5E7A0DEC"/>
    <w:rsid w:val="5E886969"/>
    <w:rsid w:val="5E8B106F"/>
    <w:rsid w:val="5E8D40BB"/>
    <w:rsid w:val="5E9162A9"/>
    <w:rsid w:val="5E926B16"/>
    <w:rsid w:val="5E9B11D3"/>
    <w:rsid w:val="5E9D0D74"/>
    <w:rsid w:val="5EA47E55"/>
    <w:rsid w:val="5EA57AD5"/>
    <w:rsid w:val="5EA634F3"/>
    <w:rsid w:val="5EB33A73"/>
    <w:rsid w:val="5EB526FC"/>
    <w:rsid w:val="5EBA1FD7"/>
    <w:rsid w:val="5EC01D44"/>
    <w:rsid w:val="5EDF3132"/>
    <w:rsid w:val="5EEA4D46"/>
    <w:rsid w:val="5EF24A7D"/>
    <w:rsid w:val="5F037B01"/>
    <w:rsid w:val="5F0C6B39"/>
    <w:rsid w:val="5F0E3C81"/>
    <w:rsid w:val="5F1A52A3"/>
    <w:rsid w:val="5F1F5F3C"/>
    <w:rsid w:val="5F246425"/>
    <w:rsid w:val="5F2476B4"/>
    <w:rsid w:val="5F2B08F6"/>
    <w:rsid w:val="5F372492"/>
    <w:rsid w:val="5F37702B"/>
    <w:rsid w:val="5F3846C5"/>
    <w:rsid w:val="5F4F21FD"/>
    <w:rsid w:val="5F5D6596"/>
    <w:rsid w:val="5F6342F2"/>
    <w:rsid w:val="5F6B7684"/>
    <w:rsid w:val="5F6BA90B"/>
    <w:rsid w:val="5F6D3196"/>
    <w:rsid w:val="5F6D5E12"/>
    <w:rsid w:val="5F7E1DB4"/>
    <w:rsid w:val="5F803786"/>
    <w:rsid w:val="5F832B91"/>
    <w:rsid w:val="5F8570CE"/>
    <w:rsid w:val="5F876F48"/>
    <w:rsid w:val="5F9D47EA"/>
    <w:rsid w:val="5FB51DFD"/>
    <w:rsid w:val="5FB872AD"/>
    <w:rsid w:val="5FBB2D96"/>
    <w:rsid w:val="5FBE1C78"/>
    <w:rsid w:val="5FCD7764"/>
    <w:rsid w:val="5FD30D37"/>
    <w:rsid w:val="5FDD32B2"/>
    <w:rsid w:val="5FE71A9A"/>
    <w:rsid w:val="5FEC53F1"/>
    <w:rsid w:val="5FF34FD3"/>
    <w:rsid w:val="5FF404D5"/>
    <w:rsid w:val="5FF91DAE"/>
    <w:rsid w:val="5FFE18E5"/>
    <w:rsid w:val="60044326"/>
    <w:rsid w:val="60132F87"/>
    <w:rsid w:val="60133C63"/>
    <w:rsid w:val="60136EC9"/>
    <w:rsid w:val="60372CB7"/>
    <w:rsid w:val="603742C4"/>
    <w:rsid w:val="603B6FC6"/>
    <w:rsid w:val="60433F1A"/>
    <w:rsid w:val="604B5909"/>
    <w:rsid w:val="60546516"/>
    <w:rsid w:val="605E0C2A"/>
    <w:rsid w:val="606124E7"/>
    <w:rsid w:val="60954E83"/>
    <w:rsid w:val="609B0A35"/>
    <w:rsid w:val="60A818B2"/>
    <w:rsid w:val="60AB4123"/>
    <w:rsid w:val="60AE3960"/>
    <w:rsid w:val="60B26BFD"/>
    <w:rsid w:val="60BC14EB"/>
    <w:rsid w:val="60C72638"/>
    <w:rsid w:val="60E0197E"/>
    <w:rsid w:val="60F77A17"/>
    <w:rsid w:val="61101393"/>
    <w:rsid w:val="61112E4A"/>
    <w:rsid w:val="61146539"/>
    <w:rsid w:val="61215DA3"/>
    <w:rsid w:val="612F2B84"/>
    <w:rsid w:val="61305A20"/>
    <w:rsid w:val="61361D14"/>
    <w:rsid w:val="61396BBD"/>
    <w:rsid w:val="613A02EB"/>
    <w:rsid w:val="61407EC2"/>
    <w:rsid w:val="61457124"/>
    <w:rsid w:val="61473F1B"/>
    <w:rsid w:val="61563682"/>
    <w:rsid w:val="615C1E6E"/>
    <w:rsid w:val="6161317E"/>
    <w:rsid w:val="61637963"/>
    <w:rsid w:val="61741EEE"/>
    <w:rsid w:val="61834802"/>
    <w:rsid w:val="619111E2"/>
    <w:rsid w:val="619117A1"/>
    <w:rsid w:val="619B7BF6"/>
    <w:rsid w:val="619E0583"/>
    <w:rsid w:val="61B37132"/>
    <w:rsid w:val="61B80901"/>
    <w:rsid w:val="61C543A6"/>
    <w:rsid w:val="61C76AA7"/>
    <w:rsid w:val="61CD5978"/>
    <w:rsid w:val="61D30270"/>
    <w:rsid w:val="61D30C47"/>
    <w:rsid w:val="61EB5333"/>
    <w:rsid w:val="61EB7167"/>
    <w:rsid w:val="61F53E67"/>
    <w:rsid w:val="61F74D37"/>
    <w:rsid w:val="61FE381D"/>
    <w:rsid w:val="61FF680B"/>
    <w:rsid w:val="6201699A"/>
    <w:rsid w:val="620406FA"/>
    <w:rsid w:val="62066D15"/>
    <w:rsid w:val="620A2365"/>
    <w:rsid w:val="620D6893"/>
    <w:rsid w:val="62113D3D"/>
    <w:rsid w:val="623C1C3A"/>
    <w:rsid w:val="624000BA"/>
    <w:rsid w:val="624223B9"/>
    <w:rsid w:val="62551126"/>
    <w:rsid w:val="625802FF"/>
    <w:rsid w:val="625809A5"/>
    <w:rsid w:val="626528B0"/>
    <w:rsid w:val="626C0492"/>
    <w:rsid w:val="62723B1E"/>
    <w:rsid w:val="6284202E"/>
    <w:rsid w:val="62897BCE"/>
    <w:rsid w:val="628F514A"/>
    <w:rsid w:val="62922E0D"/>
    <w:rsid w:val="62953E38"/>
    <w:rsid w:val="62993668"/>
    <w:rsid w:val="62A15AED"/>
    <w:rsid w:val="62AD20A6"/>
    <w:rsid w:val="62BA6F8A"/>
    <w:rsid w:val="62BF67D8"/>
    <w:rsid w:val="62C14AD3"/>
    <w:rsid w:val="62C37595"/>
    <w:rsid w:val="62C44D49"/>
    <w:rsid w:val="62CC0A6D"/>
    <w:rsid w:val="62D6489F"/>
    <w:rsid w:val="62DC5F40"/>
    <w:rsid w:val="62DE4196"/>
    <w:rsid w:val="62E32CC5"/>
    <w:rsid w:val="62EE43CA"/>
    <w:rsid w:val="62F10D4F"/>
    <w:rsid w:val="62F65CBD"/>
    <w:rsid w:val="62F835B8"/>
    <w:rsid w:val="62FB7407"/>
    <w:rsid w:val="631D0884"/>
    <w:rsid w:val="631E20A5"/>
    <w:rsid w:val="633871E0"/>
    <w:rsid w:val="633965A2"/>
    <w:rsid w:val="63406844"/>
    <w:rsid w:val="634E6DD4"/>
    <w:rsid w:val="634F74D9"/>
    <w:rsid w:val="635119AA"/>
    <w:rsid w:val="63546D7C"/>
    <w:rsid w:val="635B6B27"/>
    <w:rsid w:val="635F3F31"/>
    <w:rsid w:val="63636ED1"/>
    <w:rsid w:val="63640C17"/>
    <w:rsid w:val="636A7786"/>
    <w:rsid w:val="63733A1E"/>
    <w:rsid w:val="637A6445"/>
    <w:rsid w:val="63833210"/>
    <w:rsid w:val="6392265E"/>
    <w:rsid w:val="63935A5D"/>
    <w:rsid w:val="63982ED9"/>
    <w:rsid w:val="639A2F08"/>
    <w:rsid w:val="639E7FE3"/>
    <w:rsid w:val="63BF3991"/>
    <w:rsid w:val="63C16388"/>
    <w:rsid w:val="63CA32E5"/>
    <w:rsid w:val="63CE38A9"/>
    <w:rsid w:val="63D0424F"/>
    <w:rsid w:val="63D043D8"/>
    <w:rsid w:val="63D2651D"/>
    <w:rsid w:val="63DA030B"/>
    <w:rsid w:val="63E27E36"/>
    <w:rsid w:val="63E327D5"/>
    <w:rsid w:val="63E8035A"/>
    <w:rsid w:val="63F543C1"/>
    <w:rsid w:val="63FF0F8D"/>
    <w:rsid w:val="63FF7863"/>
    <w:rsid w:val="6408557D"/>
    <w:rsid w:val="640C348F"/>
    <w:rsid w:val="641544C8"/>
    <w:rsid w:val="641D1B16"/>
    <w:rsid w:val="642796D0"/>
    <w:rsid w:val="644F0254"/>
    <w:rsid w:val="64593660"/>
    <w:rsid w:val="646F6A53"/>
    <w:rsid w:val="6472739A"/>
    <w:rsid w:val="6474262C"/>
    <w:rsid w:val="64754984"/>
    <w:rsid w:val="647758E1"/>
    <w:rsid w:val="64897EF1"/>
    <w:rsid w:val="64981717"/>
    <w:rsid w:val="649879E9"/>
    <w:rsid w:val="64996A3D"/>
    <w:rsid w:val="64A06D9D"/>
    <w:rsid w:val="64A1300C"/>
    <w:rsid w:val="64AF2F7D"/>
    <w:rsid w:val="64CA2D32"/>
    <w:rsid w:val="64D527D4"/>
    <w:rsid w:val="64DC448A"/>
    <w:rsid w:val="64DE698B"/>
    <w:rsid w:val="64DF27FC"/>
    <w:rsid w:val="64DF4789"/>
    <w:rsid w:val="64F31418"/>
    <w:rsid w:val="64F40F73"/>
    <w:rsid w:val="64FD2E13"/>
    <w:rsid w:val="65015003"/>
    <w:rsid w:val="65021E82"/>
    <w:rsid w:val="65036E79"/>
    <w:rsid w:val="650D55DE"/>
    <w:rsid w:val="6516033A"/>
    <w:rsid w:val="651F0970"/>
    <w:rsid w:val="65293DDA"/>
    <w:rsid w:val="652A223F"/>
    <w:rsid w:val="652D418B"/>
    <w:rsid w:val="6533183C"/>
    <w:rsid w:val="65346243"/>
    <w:rsid w:val="655755C9"/>
    <w:rsid w:val="657B2A5B"/>
    <w:rsid w:val="657E2608"/>
    <w:rsid w:val="6585674A"/>
    <w:rsid w:val="658764E5"/>
    <w:rsid w:val="658B4632"/>
    <w:rsid w:val="659E4A43"/>
    <w:rsid w:val="65A54E8F"/>
    <w:rsid w:val="65AE3E74"/>
    <w:rsid w:val="65B31411"/>
    <w:rsid w:val="65B73CE0"/>
    <w:rsid w:val="65BC5557"/>
    <w:rsid w:val="65C6115C"/>
    <w:rsid w:val="65CE72A0"/>
    <w:rsid w:val="65D139E4"/>
    <w:rsid w:val="65D86F46"/>
    <w:rsid w:val="65DD053F"/>
    <w:rsid w:val="65DF7832"/>
    <w:rsid w:val="65F334F1"/>
    <w:rsid w:val="65F530FC"/>
    <w:rsid w:val="65FC3794"/>
    <w:rsid w:val="66034197"/>
    <w:rsid w:val="66101D74"/>
    <w:rsid w:val="66111AD1"/>
    <w:rsid w:val="662639BA"/>
    <w:rsid w:val="66337F7D"/>
    <w:rsid w:val="663F30CF"/>
    <w:rsid w:val="664329EF"/>
    <w:rsid w:val="664C4B85"/>
    <w:rsid w:val="66546008"/>
    <w:rsid w:val="66553050"/>
    <w:rsid w:val="66576253"/>
    <w:rsid w:val="667271A4"/>
    <w:rsid w:val="667C714C"/>
    <w:rsid w:val="667FB15F"/>
    <w:rsid w:val="66831332"/>
    <w:rsid w:val="66877912"/>
    <w:rsid w:val="668A7056"/>
    <w:rsid w:val="668B1721"/>
    <w:rsid w:val="668F16DB"/>
    <w:rsid w:val="66A27392"/>
    <w:rsid w:val="66A78490"/>
    <w:rsid w:val="66B02628"/>
    <w:rsid w:val="66B05193"/>
    <w:rsid w:val="66B17F28"/>
    <w:rsid w:val="66CA0C91"/>
    <w:rsid w:val="66D61159"/>
    <w:rsid w:val="66DD6269"/>
    <w:rsid w:val="66EA1075"/>
    <w:rsid w:val="66F21E3F"/>
    <w:rsid w:val="66F763E7"/>
    <w:rsid w:val="66FE24F1"/>
    <w:rsid w:val="6707356C"/>
    <w:rsid w:val="670A3A9C"/>
    <w:rsid w:val="670E1088"/>
    <w:rsid w:val="67145B47"/>
    <w:rsid w:val="671A2394"/>
    <w:rsid w:val="671B7E74"/>
    <w:rsid w:val="671D6C85"/>
    <w:rsid w:val="671F69E4"/>
    <w:rsid w:val="6721602D"/>
    <w:rsid w:val="6721654B"/>
    <w:rsid w:val="67261D48"/>
    <w:rsid w:val="672D2AFF"/>
    <w:rsid w:val="672E31FD"/>
    <w:rsid w:val="67337813"/>
    <w:rsid w:val="67415FD8"/>
    <w:rsid w:val="67450603"/>
    <w:rsid w:val="67607803"/>
    <w:rsid w:val="67655830"/>
    <w:rsid w:val="67696302"/>
    <w:rsid w:val="67783997"/>
    <w:rsid w:val="678761AA"/>
    <w:rsid w:val="678C6D79"/>
    <w:rsid w:val="67A74E48"/>
    <w:rsid w:val="67B321B6"/>
    <w:rsid w:val="67B5543F"/>
    <w:rsid w:val="67C06FCE"/>
    <w:rsid w:val="67CE623B"/>
    <w:rsid w:val="67D43165"/>
    <w:rsid w:val="67DC3A6D"/>
    <w:rsid w:val="67F02E2C"/>
    <w:rsid w:val="67FB68A8"/>
    <w:rsid w:val="68026233"/>
    <w:rsid w:val="680D25D1"/>
    <w:rsid w:val="680F267D"/>
    <w:rsid w:val="68161C63"/>
    <w:rsid w:val="68191E18"/>
    <w:rsid w:val="681E1544"/>
    <w:rsid w:val="682E46BA"/>
    <w:rsid w:val="683134FF"/>
    <w:rsid w:val="683E68A3"/>
    <w:rsid w:val="68430D89"/>
    <w:rsid w:val="68523D57"/>
    <w:rsid w:val="68604EB0"/>
    <w:rsid w:val="68617509"/>
    <w:rsid w:val="686175BB"/>
    <w:rsid w:val="68636049"/>
    <w:rsid w:val="68691D73"/>
    <w:rsid w:val="686C7F86"/>
    <w:rsid w:val="68745A9F"/>
    <w:rsid w:val="68816EB1"/>
    <w:rsid w:val="689C0C72"/>
    <w:rsid w:val="68A128B9"/>
    <w:rsid w:val="68A2482A"/>
    <w:rsid w:val="68AA3376"/>
    <w:rsid w:val="68AE04A8"/>
    <w:rsid w:val="68B343CA"/>
    <w:rsid w:val="68BA631E"/>
    <w:rsid w:val="68BE02BB"/>
    <w:rsid w:val="68C1536C"/>
    <w:rsid w:val="68CF0AA1"/>
    <w:rsid w:val="68D23AEE"/>
    <w:rsid w:val="68E05E53"/>
    <w:rsid w:val="68ED36AB"/>
    <w:rsid w:val="68FA78AF"/>
    <w:rsid w:val="69156FF4"/>
    <w:rsid w:val="691B1D52"/>
    <w:rsid w:val="691B35EF"/>
    <w:rsid w:val="693518FB"/>
    <w:rsid w:val="69382828"/>
    <w:rsid w:val="69416A6E"/>
    <w:rsid w:val="6942653C"/>
    <w:rsid w:val="695D7D9C"/>
    <w:rsid w:val="69651C0E"/>
    <w:rsid w:val="69754E04"/>
    <w:rsid w:val="698E4D92"/>
    <w:rsid w:val="69A66701"/>
    <w:rsid w:val="69B935E9"/>
    <w:rsid w:val="69C94E27"/>
    <w:rsid w:val="69D37463"/>
    <w:rsid w:val="69D71C14"/>
    <w:rsid w:val="69D96B71"/>
    <w:rsid w:val="69E13245"/>
    <w:rsid w:val="69E748B1"/>
    <w:rsid w:val="69EE2EBB"/>
    <w:rsid w:val="69F04B5C"/>
    <w:rsid w:val="69F35177"/>
    <w:rsid w:val="69F6153A"/>
    <w:rsid w:val="69F640E4"/>
    <w:rsid w:val="69FA77C2"/>
    <w:rsid w:val="69FD3A97"/>
    <w:rsid w:val="69FE06EB"/>
    <w:rsid w:val="69FF4C98"/>
    <w:rsid w:val="69FF7BB9"/>
    <w:rsid w:val="6A0333FA"/>
    <w:rsid w:val="6A0863E3"/>
    <w:rsid w:val="6A1D5C50"/>
    <w:rsid w:val="6A1E0C4C"/>
    <w:rsid w:val="6A1E2BAC"/>
    <w:rsid w:val="6A1F589F"/>
    <w:rsid w:val="6A2F4FD5"/>
    <w:rsid w:val="6A3813C0"/>
    <w:rsid w:val="6A435C05"/>
    <w:rsid w:val="6A444286"/>
    <w:rsid w:val="6A473D57"/>
    <w:rsid w:val="6A4D4B94"/>
    <w:rsid w:val="6A636D50"/>
    <w:rsid w:val="6A693CC3"/>
    <w:rsid w:val="6A711944"/>
    <w:rsid w:val="6A713E88"/>
    <w:rsid w:val="6A85588A"/>
    <w:rsid w:val="6A984C81"/>
    <w:rsid w:val="6A9C05C2"/>
    <w:rsid w:val="6AA35385"/>
    <w:rsid w:val="6AA73225"/>
    <w:rsid w:val="6AAF2FEA"/>
    <w:rsid w:val="6AAF6894"/>
    <w:rsid w:val="6AB35B2D"/>
    <w:rsid w:val="6AD80116"/>
    <w:rsid w:val="6AE23BEF"/>
    <w:rsid w:val="6AE257DF"/>
    <w:rsid w:val="6AE93F86"/>
    <w:rsid w:val="6AFC1413"/>
    <w:rsid w:val="6B003858"/>
    <w:rsid w:val="6B065A3A"/>
    <w:rsid w:val="6B217970"/>
    <w:rsid w:val="6B225DD0"/>
    <w:rsid w:val="6B2D2679"/>
    <w:rsid w:val="6B301701"/>
    <w:rsid w:val="6B407BC5"/>
    <w:rsid w:val="6B451619"/>
    <w:rsid w:val="6B500E9D"/>
    <w:rsid w:val="6B5154D4"/>
    <w:rsid w:val="6B642323"/>
    <w:rsid w:val="6B672191"/>
    <w:rsid w:val="6B7C01D9"/>
    <w:rsid w:val="6B7C6660"/>
    <w:rsid w:val="6B846734"/>
    <w:rsid w:val="6B8B2217"/>
    <w:rsid w:val="6B9D14A1"/>
    <w:rsid w:val="6B9E0F66"/>
    <w:rsid w:val="6BA10A56"/>
    <w:rsid w:val="6BAF11AC"/>
    <w:rsid w:val="6BAF156B"/>
    <w:rsid w:val="6BB73005"/>
    <w:rsid w:val="6BBA2A4C"/>
    <w:rsid w:val="6BBF62EB"/>
    <w:rsid w:val="6BD37DB0"/>
    <w:rsid w:val="6BE47193"/>
    <w:rsid w:val="6BE52720"/>
    <w:rsid w:val="6BF070F4"/>
    <w:rsid w:val="6BF40F66"/>
    <w:rsid w:val="6BF55F0D"/>
    <w:rsid w:val="6BFB3185"/>
    <w:rsid w:val="6C076C8D"/>
    <w:rsid w:val="6C165E81"/>
    <w:rsid w:val="6C305F8D"/>
    <w:rsid w:val="6C4A6009"/>
    <w:rsid w:val="6C500A40"/>
    <w:rsid w:val="6C5A4BD3"/>
    <w:rsid w:val="6C5B43F9"/>
    <w:rsid w:val="6C7748D6"/>
    <w:rsid w:val="6C857B97"/>
    <w:rsid w:val="6C880A80"/>
    <w:rsid w:val="6C8C646B"/>
    <w:rsid w:val="6C9B5F0F"/>
    <w:rsid w:val="6CA715FC"/>
    <w:rsid w:val="6CA9581E"/>
    <w:rsid w:val="6CB6DC51"/>
    <w:rsid w:val="6CB85085"/>
    <w:rsid w:val="6CCB298D"/>
    <w:rsid w:val="6CE344A7"/>
    <w:rsid w:val="6CE9267E"/>
    <w:rsid w:val="6CEA61B7"/>
    <w:rsid w:val="6CEC4846"/>
    <w:rsid w:val="6CEE3E90"/>
    <w:rsid w:val="6CF45B45"/>
    <w:rsid w:val="6CF96C14"/>
    <w:rsid w:val="6D046E1E"/>
    <w:rsid w:val="6D2E7C52"/>
    <w:rsid w:val="6D3040A6"/>
    <w:rsid w:val="6D325918"/>
    <w:rsid w:val="6D4113D3"/>
    <w:rsid w:val="6D524C3F"/>
    <w:rsid w:val="6D535DD6"/>
    <w:rsid w:val="6D5B4F1A"/>
    <w:rsid w:val="6D683D05"/>
    <w:rsid w:val="6D694D90"/>
    <w:rsid w:val="6D800432"/>
    <w:rsid w:val="6D8D4D8C"/>
    <w:rsid w:val="6D8E29B8"/>
    <w:rsid w:val="6D9B081F"/>
    <w:rsid w:val="6D9E6164"/>
    <w:rsid w:val="6DA438F0"/>
    <w:rsid w:val="6DB66549"/>
    <w:rsid w:val="6DB876D9"/>
    <w:rsid w:val="6DCA139F"/>
    <w:rsid w:val="6DCF77C5"/>
    <w:rsid w:val="6DEB3BCA"/>
    <w:rsid w:val="6DEE6E42"/>
    <w:rsid w:val="6DF472EA"/>
    <w:rsid w:val="6DF92A03"/>
    <w:rsid w:val="6DFE0297"/>
    <w:rsid w:val="6E091D34"/>
    <w:rsid w:val="6E1040C6"/>
    <w:rsid w:val="6E1356B1"/>
    <w:rsid w:val="6E155EC0"/>
    <w:rsid w:val="6E193E52"/>
    <w:rsid w:val="6E1C1280"/>
    <w:rsid w:val="6E1C2BD4"/>
    <w:rsid w:val="6E2077C1"/>
    <w:rsid w:val="6E2360E7"/>
    <w:rsid w:val="6E26388E"/>
    <w:rsid w:val="6E2F1C57"/>
    <w:rsid w:val="6E310F56"/>
    <w:rsid w:val="6E3B1E7B"/>
    <w:rsid w:val="6E3C4FD0"/>
    <w:rsid w:val="6E400F09"/>
    <w:rsid w:val="6E476943"/>
    <w:rsid w:val="6E496B96"/>
    <w:rsid w:val="6E512EBB"/>
    <w:rsid w:val="6E5A3708"/>
    <w:rsid w:val="6E5C309F"/>
    <w:rsid w:val="6E62785D"/>
    <w:rsid w:val="6E795A06"/>
    <w:rsid w:val="6E7B7303"/>
    <w:rsid w:val="6E865497"/>
    <w:rsid w:val="6EA14A8D"/>
    <w:rsid w:val="6EA9248F"/>
    <w:rsid w:val="6EAE2853"/>
    <w:rsid w:val="6EB55C13"/>
    <w:rsid w:val="6EBF4B5D"/>
    <w:rsid w:val="6EC22A43"/>
    <w:rsid w:val="6EC61ED7"/>
    <w:rsid w:val="6ED177DA"/>
    <w:rsid w:val="6ED352BD"/>
    <w:rsid w:val="6ED96D77"/>
    <w:rsid w:val="6EE73BF3"/>
    <w:rsid w:val="6F036CBE"/>
    <w:rsid w:val="6F097FDF"/>
    <w:rsid w:val="6F0F4C4D"/>
    <w:rsid w:val="6F1136A6"/>
    <w:rsid w:val="6F204751"/>
    <w:rsid w:val="6F2140E1"/>
    <w:rsid w:val="6F2317E3"/>
    <w:rsid w:val="6F247C2B"/>
    <w:rsid w:val="6F3A0E20"/>
    <w:rsid w:val="6F400007"/>
    <w:rsid w:val="6F4346D5"/>
    <w:rsid w:val="6F435767"/>
    <w:rsid w:val="6F47444E"/>
    <w:rsid w:val="6F55275B"/>
    <w:rsid w:val="6F5658E6"/>
    <w:rsid w:val="6F676B50"/>
    <w:rsid w:val="6F6D52C9"/>
    <w:rsid w:val="6F811B7C"/>
    <w:rsid w:val="6FAE2891"/>
    <w:rsid w:val="6FB73801"/>
    <w:rsid w:val="6FBC5AF2"/>
    <w:rsid w:val="6FBD0A96"/>
    <w:rsid w:val="6FBD19F9"/>
    <w:rsid w:val="6FC70A73"/>
    <w:rsid w:val="6FC90EEA"/>
    <w:rsid w:val="6FD360BC"/>
    <w:rsid w:val="6FEE06E3"/>
    <w:rsid w:val="6FEE5C14"/>
    <w:rsid w:val="6FF312D7"/>
    <w:rsid w:val="700737D2"/>
    <w:rsid w:val="700A2FB3"/>
    <w:rsid w:val="700F39FC"/>
    <w:rsid w:val="701A2DBF"/>
    <w:rsid w:val="701B6F8D"/>
    <w:rsid w:val="701C549A"/>
    <w:rsid w:val="70222418"/>
    <w:rsid w:val="70274482"/>
    <w:rsid w:val="702D0378"/>
    <w:rsid w:val="702D2212"/>
    <w:rsid w:val="703E3842"/>
    <w:rsid w:val="704E6F93"/>
    <w:rsid w:val="70580AF3"/>
    <w:rsid w:val="705C1E2B"/>
    <w:rsid w:val="70650EF5"/>
    <w:rsid w:val="706528DB"/>
    <w:rsid w:val="7066392F"/>
    <w:rsid w:val="706E2480"/>
    <w:rsid w:val="70745B2B"/>
    <w:rsid w:val="70786C79"/>
    <w:rsid w:val="707D1827"/>
    <w:rsid w:val="70803DE9"/>
    <w:rsid w:val="70983BD9"/>
    <w:rsid w:val="70A33E2C"/>
    <w:rsid w:val="70C304AD"/>
    <w:rsid w:val="70D41B40"/>
    <w:rsid w:val="70DB3C2E"/>
    <w:rsid w:val="70DF2A11"/>
    <w:rsid w:val="70FB20D1"/>
    <w:rsid w:val="710A2B6F"/>
    <w:rsid w:val="71215C87"/>
    <w:rsid w:val="714D0A76"/>
    <w:rsid w:val="71562326"/>
    <w:rsid w:val="71567813"/>
    <w:rsid w:val="715F30FE"/>
    <w:rsid w:val="71747364"/>
    <w:rsid w:val="717A72B3"/>
    <w:rsid w:val="717C2DDE"/>
    <w:rsid w:val="719572E7"/>
    <w:rsid w:val="719A621B"/>
    <w:rsid w:val="71A273E3"/>
    <w:rsid w:val="71CB1700"/>
    <w:rsid w:val="71CD751C"/>
    <w:rsid w:val="71CD7E16"/>
    <w:rsid w:val="71D436D3"/>
    <w:rsid w:val="71D81436"/>
    <w:rsid w:val="71DD182C"/>
    <w:rsid w:val="71EB7095"/>
    <w:rsid w:val="71F24211"/>
    <w:rsid w:val="71F24762"/>
    <w:rsid w:val="7227057A"/>
    <w:rsid w:val="723678F8"/>
    <w:rsid w:val="723937D3"/>
    <w:rsid w:val="72423113"/>
    <w:rsid w:val="72465FEB"/>
    <w:rsid w:val="724A4805"/>
    <w:rsid w:val="724A4CE0"/>
    <w:rsid w:val="72501370"/>
    <w:rsid w:val="725A12D7"/>
    <w:rsid w:val="726873C1"/>
    <w:rsid w:val="727B1580"/>
    <w:rsid w:val="72857387"/>
    <w:rsid w:val="728B53D8"/>
    <w:rsid w:val="728F1117"/>
    <w:rsid w:val="72A11024"/>
    <w:rsid w:val="72A464DF"/>
    <w:rsid w:val="72CA1ECC"/>
    <w:rsid w:val="72D46DF8"/>
    <w:rsid w:val="72DA48D1"/>
    <w:rsid w:val="72DC36E2"/>
    <w:rsid w:val="72EE0D75"/>
    <w:rsid w:val="72F416C6"/>
    <w:rsid w:val="72FD5876"/>
    <w:rsid w:val="730319B6"/>
    <w:rsid w:val="730731B7"/>
    <w:rsid w:val="731C48E6"/>
    <w:rsid w:val="73222D61"/>
    <w:rsid w:val="732E5320"/>
    <w:rsid w:val="73311069"/>
    <w:rsid w:val="73373BC4"/>
    <w:rsid w:val="733D67CB"/>
    <w:rsid w:val="733E031E"/>
    <w:rsid w:val="733F5DA0"/>
    <w:rsid w:val="73414ECA"/>
    <w:rsid w:val="73487F50"/>
    <w:rsid w:val="73491F32"/>
    <w:rsid w:val="736F7F45"/>
    <w:rsid w:val="73783BB8"/>
    <w:rsid w:val="73800E64"/>
    <w:rsid w:val="73832A97"/>
    <w:rsid w:val="73872DA8"/>
    <w:rsid w:val="7387674E"/>
    <w:rsid w:val="738D49B5"/>
    <w:rsid w:val="73AC0B5E"/>
    <w:rsid w:val="73AF381F"/>
    <w:rsid w:val="73B47D79"/>
    <w:rsid w:val="73C17FF4"/>
    <w:rsid w:val="73C95D04"/>
    <w:rsid w:val="73CE7C98"/>
    <w:rsid w:val="73D94DFC"/>
    <w:rsid w:val="73DD27A6"/>
    <w:rsid w:val="73DD49A4"/>
    <w:rsid w:val="73E218BF"/>
    <w:rsid w:val="73E35A10"/>
    <w:rsid w:val="73EC0920"/>
    <w:rsid w:val="73F66990"/>
    <w:rsid w:val="73F9454E"/>
    <w:rsid w:val="73FA088F"/>
    <w:rsid w:val="740A314B"/>
    <w:rsid w:val="741C5963"/>
    <w:rsid w:val="742325F8"/>
    <w:rsid w:val="74235AD3"/>
    <w:rsid w:val="74241931"/>
    <w:rsid w:val="742448B0"/>
    <w:rsid w:val="742479DD"/>
    <w:rsid w:val="74280288"/>
    <w:rsid w:val="74394F80"/>
    <w:rsid w:val="743A2165"/>
    <w:rsid w:val="74545336"/>
    <w:rsid w:val="74570D81"/>
    <w:rsid w:val="7461767D"/>
    <w:rsid w:val="74655B82"/>
    <w:rsid w:val="7467194F"/>
    <w:rsid w:val="74703059"/>
    <w:rsid w:val="74715218"/>
    <w:rsid w:val="74742919"/>
    <w:rsid w:val="74776930"/>
    <w:rsid w:val="747E12EE"/>
    <w:rsid w:val="74852162"/>
    <w:rsid w:val="748A642C"/>
    <w:rsid w:val="748F5B51"/>
    <w:rsid w:val="74A51FD1"/>
    <w:rsid w:val="74A62EF7"/>
    <w:rsid w:val="74AA1124"/>
    <w:rsid w:val="74CD42AD"/>
    <w:rsid w:val="74CE41F6"/>
    <w:rsid w:val="74D011ED"/>
    <w:rsid w:val="74F04889"/>
    <w:rsid w:val="7503692D"/>
    <w:rsid w:val="75083CED"/>
    <w:rsid w:val="750B4E19"/>
    <w:rsid w:val="750D20E7"/>
    <w:rsid w:val="75116CCD"/>
    <w:rsid w:val="75237F82"/>
    <w:rsid w:val="75327770"/>
    <w:rsid w:val="753679E1"/>
    <w:rsid w:val="75381CB1"/>
    <w:rsid w:val="75514932"/>
    <w:rsid w:val="755340CC"/>
    <w:rsid w:val="755E733A"/>
    <w:rsid w:val="755E7F92"/>
    <w:rsid w:val="756B7033"/>
    <w:rsid w:val="756C0ED9"/>
    <w:rsid w:val="75717AB9"/>
    <w:rsid w:val="75852CB4"/>
    <w:rsid w:val="75895F54"/>
    <w:rsid w:val="759A0A49"/>
    <w:rsid w:val="75B97A01"/>
    <w:rsid w:val="75CD14BB"/>
    <w:rsid w:val="75D2493C"/>
    <w:rsid w:val="75E70271"/>
    <w:rsid w:val="75EE45A1"/>
    <w:rsid w:val="75F15DF6"/>
    <w:rsid w:val="75FA6E57"/>
    <w:rsid w:val="75FD06EE"/>
    <w:rsid w:val="76161897"/>
    <w:rsid w:val="76201A67"/>
    <w:rsid w:val="762177E9"/>
    <w:rsid w:val="762368BE"/>
    <w:rsid w:val="762754F4"/>
    <w:rsid w:val="762C1B71"/>
    <w:rsid w:val="763A0C26"/>
    <w:rsid w:val="763F1ED1"/>
    <w:rsid w:val="76461CFB"/>
    <w:rsid w:val="764D2FDA"/>
    <w:rsid w:val="765A6D9F"/>
    <w:rsid w:val="766F725C"/>
    <w:rsid w:val="767050DD"/>
    <w:rsid w:val="76776B05"/>
    <w:rsid w:val="76783A6F"/>
    <w:rsid w:val="767B1729"/>
    <w:rsid w:val="76816D41"/>
    <w:rsid w:val="768174D6"/>
    <w:rsid w:val="76822D5F"/>
    <w:rsid w:val="768973BA"/>
    <w:rsid w:val="769647AB"/>
    <w:rsid w:val="76984412"/>
    <w:rsid w:val="76997C69"/>
    <w:rsid w:val="76B75142"/>
    <w:rsid w:val="76B8443B"/>
    <w:rsid w:val="76D24E32"/>
    <w:rsid w:val="76D31F1A"/>
    <w:rsid w:val="76D80D82"/>
    <w:rsid w:val="76DC7E8B"/>
    <w:rsid w:val="76F15014"/>
    <w:rsid w:val="76FC4CB7"/>
    <w:rsid w:val="770D3EE5"/>
    <w:rsid w:val="771022E7"/>
    <w:rsid w:val="77170A92"/>
    <w:rsid w:val="771A3428"/>
    <w:rsid w:val="771B0238"/>
    <w:rsid w:val="77230F03"/>
    <w:rsid w:val="7725256C"/>
    <w:rsid w:val="77255AB0"/>
    <w:rsid w:val="77267C83"/>
    <w:rsid w:val="77284EFB"/>
    <w:rsid w:val="77315B33"/>
    <w:rsid w:val="7753675A"/>
    <w:rsid w:val="775D10E3"/>
    <w:rsid w:val="7760487F"/>
    <w:rsid w:val="77697601"/>
    <w:rsid w:val="77734C40"/>
    <w:rsid w:val="777F291C"/>
    <w:rsid w:val="77805CD8"/>
    <w:rsid w:val="77815E20"/>
    <w:rsid w:val="77896DCC"/>
    <w:rsid w:val="77954AC0"/>
    <w:rsid w:val="779A667B"/>
    <w:rsid w:val="77BB445A"/>
    <w:rsid w:val="77BE7CED"/>
    <w:rsid w:val="77C51D8C"/>
    <w:rsid w:val="77C62998"/>
    <w:rsid w:val="77C758D6"/>
    <w:rsid w:val="77D82FAB"/>
    <w:rsid w:val="77E45298"/>
    <w:rsid w:val="77E500C2"/>
    <w:rsid w:val="77E86FE4"/>
    <w:rsid w:val="77EB22BA"/>
    <w:rsid w:val="77EB24E3"/>
    <w:rsid w:val="77EE0CEA"/>
    <w:rsid w:val="77FE53E9"/>
    <w:rsid w:val="77FE7BD9"/>
    <w:rsid w:val="78014233"/>
    <w:rsid w:val="78073BAB"/>
    <w:rsid w:val="780A4A7F"/>
    <w:rsid w:val="782878B2"/>
    <w:rsid w:val="78375F0F"/>
    <w:rsid w:val="78486CF0"/>
    <w:rsid w:val="784937C3"/>
    <w:rsid w:val="784B4256"/>
    <w:rsid w:val="784D587D"/>
    <w:rsid w:val="78501970"/>
    <w:rsid w:val="78572FFF"/>
    <w:rsid w:val="786E0F20"/>
    <w:rsid w:val="788A0CFB"/>
    <w:rsid w:val="788B70BF"/>
    <w:rsid w:val="789363A2"/>
    <w:rsid w:val="78940436"/>
    <w:rsid w:val="789A2EC0"/>
    <w:rsid w:val="78AD428C"/>
    <w:rsid w:val="78AF1C70"/>
    <w:rsid w:val="78AF6CFD"/>
    <w:rsid w:val="78B13110"/>
    <w:rsid w:val="78B65A28"/>
    <w:rsid w:val="78B74D1A"/>
    <w:rsid w:val="78BC3339"/>
    <w:rsid w:val="78C75250"/>
    <w:rsid w:val="78CA163A"/>
    <w:rsid w:val="78CD2FA6"/>
    <w:rsid w:val="78D05905"/>
    <w:rsid w:val="78D51BC9"/>
    <w:rsid w:val="78D63976"/>
    <w:rsid w:val="78D966C9"/>
    <w:rsid w:val="78E9078E"/>
    <w:rsid w:val="78EC71BF"/>
    <w:rsid w:val="78ED7CDF"/>
    <w:rsid w:val="78F22765"/>
    <w:rsid w:val="78F57EEE"/>
    <w:rsid w:val="78FE360B"/>
    <w:rsid w:val="79003330"/>
    <w:rsid w:val="790F19B7"/>
    <w:rsid w:val="791C29B3"/>
    <w:rsid w:val="79342EE7"/>
    <w:rsid w:val="793637EB"/>
    <w:rsid w:val="79504D96"/>
    <w:rsid w:val="79575E47"/>
    <w:rsid w:val="7958599E"/>
    <w:rsid w:val="79643A4C"/>
    <w:rsid w:val="79645E6C"/>
    <w:rsid w:val="79693E76"/>
    <w:rsid w:val="7969495B"/>
    <w:rsid w:val="796D2361"/>
    <w:rsid w:val="796D3477"/>
    <w:rsid w:val="796D6A57"/>
    <w:rsid w:val="796E4346"/>
    <w:rsid w:val="79A64627"/>
    <w:rsid w:val="79BE53CA"/>
    <w:rsid w:val="79CB4676"/>
    <w:rsid w:val="79E65A0C"/>
    <w:rsid w:val="79F736D0"/>
    <w:rsid w:val="79FC7B94"/>
    <w:rsid w:val="79FD417E"/>
    <w:rsid w:val="7A065C5D"/>
    <w:rsid w:val="7A12712C"/>
    <w:rsid w:val="7A237C1E"/>
    <w:rsid w:val="7A326030"/>
    <w:rsid w:val="7A3C19B4"/>
    <w:rsid w:val="7A467EA8"/>
    <w:rsid w:val="7A5375F6"/>
    <w:rsid w:val="7A6FF3A4"/>
    <w:rsid w:val="7A7C753A"/>
    <w:rsid w:val="7A84150A"/>
    <w:rsid w:val="7A891E4E"/>
    <w:rsid w:val="7AA9664C"/>
    <w:rsid w:val="7AAB3E96"/>
    <w:rsid w:val="7AAC0E8B"/>
    <w:rsid w:val="7AAC3CFC"/>
    <w:rsid w:val="7AAE0556"/>
    <w:rsid w:val="7AB672A8"/>
    <w:rsid w:val="7AC14F76"/>
    <w:rsid w:val="7AC7729E"/>
    <w:rsid w:val="7ACC57F7"/>
    <w:rsid w:val="7ACD64B9"/>
    <w:rsid w:val="7AD920E7"/>
    <w:rsid w:val="7AD945AB"/>
    <w:rsid w:val="7ADA128B"/>
    <w:rsid w:val="7AE01101"/>
    <w:rsid w:val="7AF01545"/>
    <w:rsid w:val="7AF64D4C"/>
    <w:rsid w:val="7B091175"/>
    <w:rsid w:val="7B0C44EA"/>
    <w:rsid w:val="7B0F6B55"/>
    <w:rsid w:val="7B12558C"/>
    <w:rsid w:val="7B240144"/>
    <w:rsid w:val="7B296326"/>
    <w:rsid w:val="7B3F15F6"/>
    <w:rsid w:val="7B413DBE"/>
    <w:rsid w:val="7B4973BB"/>
    <w:rsid w:val="7B4B5D82"/>
    <w:rsid w:val="7B61606E"/>
    <w:rsid w:val="7B62149F"/>
    <w:rsid w:val="7B646A7C"/>
    <w:rsid w:val="7B656579"/>
    <w:rsid w:val="7B7FD611"/>
    <w:rsid w:val="7B8D09CF"/>
    <w:rsid w:val="7B9C530E"/>
    <w:rsid w:val="7BA51975"/>
    <w:rsid w:val="7BA5225A"/>
    <w:rsid w:val="7BAA2D03"/>
    <w:rsid w:val="7BB17E3D"/>
    <w:rsid w:val="7BBD20FA"/>
    <w:rsid w:val="7BC22EA5"/>
    <w:rsid w:val="7BCDABAC"/>
    <w:rsid w:val="7BD0029F"/>
    <w:rsid w:val="7BD63F97"/>
    <w:rsid w:val="7BD91886"/>
    <w:rsid w:val="7BE36225"/>
    <w:rsid w:val="7BF436F4"/>
    <w:rsid w:val="7BFC01F8"/>
    <w:rsid w:val="7BFE58E8"/>
    <w:rsid w:val="7BFF0716"/>
    <w:rsid w:val="7C0346F7"/>
    <w:rsid w:val="7C0C52FD"/>
    <w:rsid w:val="7C106E98"/>
    <w:rsid w:val="7C122EB9"/>
    <w:rsid w:val="7C2679CE"/>
    <w:rsid w:val="7C3364BB"/>
    <w:rsid w:val="7C337135"/>
    <w:rsid w:val="7C3871F2"/>
    <w:rsid w:val="7C406F52"/>
    <w:rsid w:val="7C417926"/>
    <w:rsid w:val="7C4D19CA"/>
    <w:rsid w:val="7C5523FA"/>
    <w:rsid w:val="7C5A7CD0"/>
    <w:rsid w:val="7C5B352A"/>
    <w:rsid w:val="7C642E78"/>
    <w:rsid w:val="7C69029A"/>
    <w:rsid w:val="7C7735D5"/>
    <w:rsid w:val="7C865C2E"/>
    <w:rsid w:val="7C871EDC"/>
    <w:rsid w:val="7C9A6C9C"/>
    <w:rsid w:val="7C9F4BE6"/>
    <w:rsid w:val="7CA07E3D"/>
    <w:rsid w:val="7CAE318A"/>
    <w:rsid w:val="7CB328D7"/>
    <w:rsid w:val="7CBC5690"/>
    <w:rsid w:val="7CC64038"/>
    <w:rsid w:val="7CCA362D"/>
    <w:rsid w:val="7CDC36EC"/>
    <w:rsid w:val="7CE26535"/>
    <w:rsid w:val="7CF20277"/>
    <w:rsid w:val="7CFC2C5D"/>
    <w:rsid w:val="7CFD2132"/>
    <w:rsid w:val="7CFF45A2"/>
    <w:rsid w:val="7D0345F2"/>
    <w:rsid w:val="7D052EA4"/>
    <w:rsid w:val="7D063F2D"/>
    <w:rsid w:val="7D13263F"/>
    <w:rsid w:val="7D176B5E"/>
    <w:rsid w:val="7D205941"/>
    <w:rsid w:val="7D3156D8"/>
    <w:rsid w:val="7D3B6D72"/>
    <w:rsid w:val="7D4413BA"/>
    <w:rsid w:val="7D4D3C59"/>
    <w:rsid w:val="7D4E6DD3"/>
    <w:rsid w:val="7D546FB4"/>
    <w:rsid w:val="7D5859CA"/>
    <w:rsid w:val="7D5B76DD"/>
    <w:rsid w:val="7D671AEB"/>
    <w:rsid w:val="7D690EB3"/>
    <w:rsid w:val="7D7E02C9"/>
    <w:rsid w:val="7D8A2D8C"/>
    <w:rsid w:val="7D8B4EED"/>
    <w:rsid w:val="7D907C7B"/>
    <w:rsid w:val="7DA62377"/>
    <w:rsid w:val="7DC242E0"/>
    <w:rsid w:val="7DD331DF"/>
    <w:rsid w:val="7DE45A4F"/>
    <w:rsid w:val="7DF44E24"/>
    <w:rsid w:val="7DFC4D0F"/>
    <w:rsid w:val="7DFE2B56"/>
    <w:rsid w:val="7E1FB509"/>
    <w:rsid w:val="7E207121"/>
    <w:rsid w:val="7E225F3F"/>
    <w:rsid w:val="7E2D2770"/>
    <w:rsid w:val="7E36021B"/>
    <w:rsid w:val="7E36681D"/>
    <w:rsid w:val="7E3C7DE5"/>
    <w:rsid w:val="7E3E1E15"/>
    <w:rsid w:val="7E3F7470"/>
    <w:rsid w:val="7E423935"/>
    <w:rsid w:val="7E476F8D"/>
    <w:rsid w:val="7E6135BE"/>
    <w:rsid w:val="7E645D4D"/>
    <w:rsid w:val="7E6A0480"/>
    <w:rsid w:val="7E794A28"/>
    <w:rsid w:val="7E852C56"/>
    <w:rsid w:val="7E8D29AE"/>
    <w:rsid w:val="7E9220D6"/>
    <w:rsid w:val="7E9D74C6"/>
    <w:rsid w:val="7EE157DD"/>
    <w:rsid w:val="7EE44903"/>
    <w:rsid w:val="7EE8171D"/>
    <w:rsid w:val="7EEAD3E5"/>
    <w:rsid w:val="7EEE4B99"/>
    <w:rsid w:val="7EF8718F"/>
    <w:rsid w:val="7F001B70"/>
    <w:rsid w:val="7F0A0C8F"/>
    <w:rsid w:val="7F0B7AFA"/>
    <w:rsid w:val="7F0F44C6"/>
    <w:rsid w:val="7F110979"/>
    <w:rsid w:val="7F162349"/>
    <w:rsid w:val="7F1A09AC"/>
    <w:rsid w:val="7F2A250B"/>
    <w:rsid w:val="7F37614B"/>
    <w:rsid w:val="7F3F7F7D"/>
    <w:rsid w:val="7F4F4D23"/>
    <w:rsid w:val="7F525CF0"/>
    <w:rsid w:val="7F567F7A"/>
    <w:rsid w:val="7F5777EC"/>
    <w:rsid w:val="7F617DF3"/>
    <w:rsid w:val="7F622219"/>
    <w:rsid w:val="7F675064"/>
    <w:rsid w:val="7F682EC0"/>
    <w:rsid w:val="7F6E51FB"/>
    <w:rsid w:val="7F743B6E"/>
    <w:rsid w:val="7F762A2D"/>
    <w:rsid w:val="7F77725A"/>
    <w:rsid w:val="7F796B80"/>
    <w:rsid w:val="7F80243F"/>
    <w:rsid w:val="7F8B7642"/>
    <w:rsid w:val="7F8E7B60"/>
    <w:rsid w:val="7F912F97"/>
    <w:rsid w:val="7F96323C"/>
    <w:rsid w:val="7F975160"/>
    <w:rsid w:val="7FA24467"/>
    <w:rsid w:val="7FB34A90"/>
    <w:rsid w:val="7FBE3494"/>
    <w:rsid w:val="7FBF5A0C"/>
    <w:rsid w:val="7FBF7612"/>
    <w:rsid w:val="7FBFAC04"/>
    <w:rsid w:val="7FD02626"/>
    <w:rsid w:val="7FDB3C42"/>
    <w:rsid w:val="7FDBD39A"/>
    <w:rsid w:val="7FEA07DC"/>
    <w:rsid w:val="7FF91A03"/>
    <w:rsid w:val="7FFB4153"/>
    <w:rsid w:val="7FFDC73F"/>
    <w:rsid w:val="7FFF4BF1"/>
    <w:rsid w:val="9CF750BB"/>
    <w:rsid w:val="9F9E0710"/>
    <w:rsid w:val="AF570CE7"/>
    <w:rsid w:val="AFDE3F36"/>
    <w:rsid w:val="B1FD5E95"/>
    <w:rsid w:val="B6526005"/>
    <w:rsid w:val="BFF138E6"/>
    <w:rsid w:val="BFFEE70E"/>
    <w:rsid w:val="CE5673DE"/>
    <w:rsid w:val="CFEED055"/>
    <w:rsid w:val="D1FF2F3A"/>
    <w:rsid w:val="DB3F810B"/>
    <w:rsid w:val="DBBFBB45"/>
    <w:rsid w:val="DCF7B667"/>
    <w:rsid w:val="DDBC28AD"/>
    <w:rsid w:val="DFF5E017"/>
    <w:rsid w:val="E13FFD93"/>
    <w:rsid w:val="EEFE6F07"/>
    <w:rsid w:val="EFF6E677"/>
    <w:rsid w:val="F5F3F349"/>
    <w:rsid w:val="F6BBBB96"/>
    <w:rsid w:val="F7775EEA"/>
    <w:rsid w:val="F7FD4F7A"/>
    <w:rsid w:val="FB3FACA9"/>
    <w:rsid w:val="FBBD3F6C"/>
    <w:rsid w:val="FDFB376C"/>
    <w:rsid w:val="FDFF43AE"/>
    <w:rsid w:val="FF7EEF3B"/>
    <w:rsid w:val="FF7EF170"/>
    <w:rsid w:val="FFBF835A"/>
    <w:rsid w:val="FFD6DD9B"/>
    <w:rsid w:val="FFFD8A6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0" w:semiHidden="0" w:name="caption"/>
    <w:lsdException w:uiPriority="99" w:name="table of figures"/>
    <w:lsdException w:uiPriority="99"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qFormat="1"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after="20" w:afterLines="20" w:line="288" w:lineRule="auto"/>
      <w:jc w:val="both"/>
    </w:pPr>
    <w:rPr>
      <w:rFonts w:asciiTheme="minorAscii" w:hAnsiTheme="minorAscii" w:eastAsiaTheme="minorEastAsia" w:cstheme="minorBidi"/>
      <w:kern w:val="2"/>
      <w:sz w:val="24"/>
      <w:szCs w:val="24"/>
      <w:lang w:val="en-US" w:eastAsia="zh-CN" w:bidi="ar-SA"/>
    </w:rPr>
  </w:style>
  <w:style w:type="paragraph" w:styleId="2">
    <w:name w:val="heading 1"/>
    <w:basedOn w:val="1"/>
    <w:next w:val="1"/>
    <w:link w:val="61"/>
    <w:qFormat/>
    <w:uiPriority w:val="0"/>
    <w:pPr>
      <w:keepNext/>
      <w:keepLines/>
      <w:adjustRightInd w:val="0"/>
      <w:snapToGrid w:val="0"/>
      <w:spacing w:beforeLines="0" w:beforeAutospacing="0" w:after="80" w:afterLines="80" w:afterAutospacing="0" w:line="288" w:lineRule="auto"/>
      <w:outlineLvl w:val="0"/>
    </w:pPr>
    <w:rPr>
      <w:b/>
      <w:bCs/>
      <w:kern w:val="44"/>
      <w:sz w:val="36"/>
      <w:szCs w:val="36"/>
    </w:rPr>
  </w:style>
  <w:style w:type="paragraph" w:styleId="3">
    <w:name w:val="heading 2"/>
    <w:basedOn w:val="1"/>
    <w:next w:val="1"/>
    <w:link w:val="60"/>
    <w:unhideWhenUsed/>
    <w:qFormat/>
    <w:uiPriority w:val="0"/>
    <w:pPr>
      <w:keepNext/>
      <w:keepLines/>
      <w:spacing w:before="120" w:beforeLines="120" w:beforeAutospacing="0" w:after="80" w:afterLines="80" w:afterAutospacing="0" w:line="288" w:lineRule="auto"/>
      <w:outlineLvl w:val="1"/>
    </w:pPr>
    <w:rPr>
      <w:b/>
      <w:bCs/>
      <w:sz w:val="32"/>
      <w:szCs w:val="32"/>
    </w:rPr>
  </w:style>
  <w:style w:type="paragraph" w:styleId="4">
    <w:name w:val="heading 3"/>
    <w:basedOn w:val="1"/>
    <w:next w:val="1"/>
    <w:link w:val="62"/>
    <w:unhideWhenUsed/>
    <w:qFormat/>
    <w:uiPriority w:val="0"/>
    <w:pPr>
      <w:keepNext/>
      <w:keepLines/>
      <w:spacing w:before="120" w:beforeLines="120" w:beforeAutospacing="0" w:after="80" w:afterLines="80" w:afterAutospacing="0" w:line="288" w:lineRule="auto"/>
      <w:outlineLvl w:val="2"/>
    </w:pPr>
    <w:rPr>
      <w:b/>
      <w:bCs/>
      <w:sz w:val="30"/>
      <w:szCs w:val="30"/>
    </w:rPr>
  </w:style>
  <w:style w:type="paragraph" w:styleId="5">
    <w:name w:val="heading 4"/>
    <w:basedOn w:val="1"/>
    <w:next w:val="1"/>
    <w:unhideWhenUsed/>
    <w:qFormat/>
    <w:uiPriority w:val="0"/>
    <w:pPr>
      <w:keepNext/>
      <w:keepLines/>
      <w:spacing w:before="120" w:beforeLines="120" w:beforeAutospacing="0" w:after="80" w:afterLines="80" w:afterAutospacing="0" w:line="288" w:lineRule="auto"/>
      <w:outlineLvl w:val="3"/>
    </w:pPr>
    <w:rPr>
      <w:b/>
      <w:bCs/>
      <w:sz w:val="28"/>
      <w:szCs w:val="28"/>
    </w:rPr>
  </w:style>
  <w:style w:type="paragraph" w:styleId="6">
    <w:name w:val="heading 5"/>
    <w:basedOn w:val="1"/>
    <w:next w:val="7"/>
    <w:unhideWhenUsed/>
    <w:qFormat/>
    <w:uiPriority w:val="0"/>
    <w:pPr>
      <w:keepNext/>
      <w:keepLines/>
      <w:spacing w:before="120" w:beforeLines="120" w:beforeAutospacing="0" w:after="80" w:afterLines="80" w:afterAutospacing="0" w:line="288" w:lineRule="auto"/>
      <w:outlineLvl w:val="4"/>
    </w:pPr>
    <w:rPr>
      <w:b/>
      <w:bCs/>
    </w:rPr>
  </w:style>
  <w:style w:type="paragraph" w:styleId="8">
    <w:name w:val="heading 6"/>
    <w:basedOn w:val="1"/>
    <w:next w:val="7"/>
    <w:unhideWhenUsed/>
    <w:qFormat/>
    <w:uiPriority w:val="0"/>
    <w:pPr>
      <w:keepNext/>
      <w:keepLines/>
      <w:spacing w:before="120" w:beforeLines="120" w:beforeAutospacing="0" w:after="80" w:afterLines="80" w:afterAutospacing="0" w:line="288" w:lineRule="auto"/>
      <w:outlineLvl w:val="5"/>
    </w:pPr>
    <w:rPr>
      <w:rFonts w:asciiTheme="minorAscii" w:hAnsiTheme="minorAscii" w:eastAsiaTheme="minorEastAsia"/>
      <w:b/>
      <w:bCs/>
    </w:rPr>
  </w:style>
  <w:style w:type="paragraph" w:styleId="9">
    <w:name w:val="heading 7"/>
    <w:basedOn w:val="1"/>
    <w:next w:val="7"/>
    <w:unhideWhenUsed/>
    <w:qFormat/>
    <w:uiPriority w:val="0"/>
    <w:pPr>
      <w:keepNext/>
      <w:keepLines/>
      <w:spacing w:before="120" w:beforeLines="120" w:beforeAutospacing="0" w:after="80" w:afterLines="80" w:afterAutospacing="0" w:line="288" w:lineRule="auto"/>
      <w:outlineLvl w:val="6"/>
    </w:pPr>
    <w:rPr>
      <w:rFonts w:asciiTheme="minorAscii" w:hAnsiTheme="minorAscii" w:eastAsiaTheme="minorEastAsia"/>
      <w:b/>
      <w:bCs/>
    </w:rPr>
  </w:style>
  <w:style w:type="paragraph" w:styleId="10">
    <w:name w:val="heading 8"/>
    <w:basedOn w:val="1"/>
    <w:next w:val="7"/>
    <w:unhideWhenUsed/>
    <w:qFormat/>
    <w:uiPriority w:val="0"/>
    <w:pPr>
      <w:keepNext/>
      <w:keepLines/>
      <w:spacing w:before="120" w:beforeLines="120" w:beforeAutospacing="0" w:after="80" w:afterLines="80" w:afterAutospacing="0" w:line="288" w:lineRule="auto"/>
      <w:outlineLvl w:val="7"/>
    </w:pPr>
    <w:rPr>
      <w:rFonts w:asciiTheme="minorAscii" w:hAnsiTheme="minorAscii" w:eastAsiaTheme="minorEastAsia"/>
      <w:b/>
      <w:bCs/>
    </w:rPr>
  </w:style>
  <w:style w:type="paragraph" w:styleId="11">
    <w:name w:val="heading 9"/>
    <w:basedOn w:val="1"/>
    <w:next w:val="7"/>
    <w:unhideWhenUsed/>
    <w:qFormat/>
    <w:uiPriority w:val="0"/>
    <w:pPr>
      <w:keepNext/>
      <w:keepLines/>
      <w:spacing w:before="120" w:beforeLines="120" w:beforeAutospacing="0" w:after="80" w:afterLines="80" w:afterAutospacing="0" w:line="288" w:lineRule="auto"/>
      <w:outlineLvl w:val="8"/>
    </w:pPr>
    <w:rPr>
      <w:rFonts w:asciiTheme="minorAscii" w:hAnsiTheme="minorAscii" w:eastAsiaTheme="minorEastAsia"/>
      <w:b/>
      <w:bCs/>
      <w:sz w:val="24"/>
    </w:rPr>
  </w:style>
  <w:style w:type="character" w:default="1" w:styleId="49">
    <w:name w:val="Default Paragraph Font"/>
    <w:semiHidden/>
    <w:qFormat/>
    <w:uiPriority w:val="0"/>
  </w:style>
  <w:style w:type="table" w:default="1" w:styleId="47">
    <w:name w:val="Normal Table"/>
    <w:unhideWhenUsed/>
    <w:qFormat/>
    <w:uiPriority w:val="99"/>
    <w:tblPr>
      <w:tblCellMar>
        <w:top w:w="0" w:type="dxa"/>
        <w:left w:w="108" w:type="dxa"/>
        <w:bottom w:w="0" w:type="dxa"/>
        <w:right w:w="108" w:type="dxa"/>
      </w:tblCellMar>
    </w:tblPr>
  </w:style>
  <w:style w:type="paragraph" w:styleId="7">
    <w:name w:val="Body Text"/>
    <w:basedOn w:val="1"/>
    <w:qFormat/>
    <w:uiPriority w:val="0"/>
    <w:pPr>
      <w:spacing w:after="120" w:afterLines="0" w:afterAutospacing="0"/>
    </w:pPr>
  </w:style>
  <w:style w:type="paragraph" w:styleId="12">
    <w:name w:val="toc 7"/>
    <w:basedOn w:val="1"/>
    <w:next w:val="1"/>
    <w:qFormat/>
    <w:uiPriority w:val="0"/>
    <w:pPr>
      <w:ind w:left="2520" w:leftChars="1200"/>
    </w:pPr>
  </w:style>
  <w:style w:type="paragraph" w:styleId="13">
    <w:name w:val="Normal Indent"/>
    <w:basedOn w:val="1"/>
    <w:qFormat/>
    <w:uiPriority w:val="0"/>
    <w:pPr>
      <w:ind w:firstLine="420" w:firstLineChars="200"/>
    </w:pPr>
  </w:style>
  <w:style w:type="paragraph" w:styleId="14">
    <w:name w:val="caption"/>
    <w:basedOn w:val="1"/>
    <w:next w:val="1"/>
    <w:unhideWhenUsed/>
    <w:qFormat/>
    <w:uiPriority w:val="0"/>
    <w:pPr>
      <w:ind w:firstLine="0" w:firstLineChars="0"/>
    </w:pPr>
    <w:rPr>
      <w:rFonts w:cs="Times New Roman" w:asciiTheme="minorAscii" w:hAnsiTheme="minorAscii" w:eastAsiaTheme="minorEastAsia"/>
      <w:sz w:val="24"/>
    </w:rPr>
  </w:style>
  <w:style w:type="paragraph" w:styleId="15">
    <w:name w:val="Document Map"/>
    <w:basedOn w:val="1"/>
    <w:link w:val="63"/>
    <w:qFormat/>
    <w:uiPriority w:val="0"/>
    <w:pPr>
      <w:shd w:val="clear" w:color="auto" w:fill="000080"/>
    </w:pPr>
  </w:style>
  <w:style w:type="paragraph" w:styleId="16">
    <w:name w:val="toa heading"/>
    <w:basedOn w:val="1"/>
    <w:next w:val="1"/>
    <w:qFormat/>
    <w:uiPriority w:val="0"/>
    <w:pPr>
      <w:spacing w:before="120" w:beforeLines="0" w:beforeAutospacing="0"/>
    </w:pPr>
    <w:rPr>
      <w:rFonts w:ascii="Arial" w:hAnsi="Arial"/>
      <w:sz w:val="24"/>
    </w:rPr>
  </w:style>
  <w:style w:type="paragraph" w:styleId="17">
    <w:name w:val="annotation text"/>
    <w:basedOn w:val="1"/>
    <w:qFormat/>
    <w:uiPriority w:val="0"/>
    <w:pPr>
      <w:jc w:val="left"/>
    </w:pPr>
    <w:rPr>
      <w:color w:val="262626" w:themeColor="text1" w:themeTint="D9"/>
      <w14:textFill>
        <w14:solidFill>
          <w14:schemeClr w14:val="tx1">
            <w14:lumMod w14:val="85000"/>
            <w14:lumOff w14:val="15000"/>
          </w14:schemeClr>
        </w14:solidFill>
      </w14:textFill>
    </w:rPr>
  </w:style>
  <w:style w:type="paragraph" w:styleId="18">
    <w:name w:val="Salutation"/>
    <w:basedOn w:val="1"/>
    <w:next w:val="1"/>
    <w:qFormat/>
    <w:uiPriority w:val="0"/>
  </w:style>
  <w:style w:type="paragraph" w:styleId="19">
    <w:name w:val="Body Text 3"/>
    <w:basedOn w:val="1"/>
    <w:link w:val="64"/>
    <w:qFormat/>
    <w:uiPriority w:val="0"/>
    <w:pPr>
      <w:spacing w:after="120" w:afterLines="0" w:afterAutospacing="0"/>
    </w:pPr>
    <w:rPr>
      <w:sz w:val="16"/>
    </w:rPr>
  </w:style>
  <w:style w:type="paragraph" w:styleId="20">
    <w:name w:val="Body Text Indent"/>
    <w:basedOn w:val="1"/>
    <w:link w:val="65"/>
    <w:qFormat/>
    <w:uiPriority w:val="0"/>
    <w:pPr>
      <w:spacing w:after="120" w:afterLines="0" w:afterAutospacing="0"/>
      <w:ind w:left="420" w:leftChars="200"/>
    </w:pPr>
  </w:style>
  <w:style w:type="paragraph" w:styleId="21">
    <w:name w:val="toc 5"/>
    <w:basedOn w:val="1"/>
    <w:next w:val="1"/>
    <w:qFormat/>
    <w:uiPriority w:val="0"/>
    <w:pPr>
      <w:ind w:left="1680" w:leftChars="800"/>
    </w:pPr>
  </w:style>
  <w:style w:type="paragraph" w:styleId="22">
    <w:name w:val="toc 3"/>
    <w:basedOn w:val="1"/>
    <w:next w:val="1"/>
    <w:qFormat/>
    <w:uiPriority w:val="0"/>
    <w:pPr>
      <w:ind w:left="840" w:leftChars="400"/>
    </w:pPr>
  </w:style>
  <w:style w:type="paragraph" w:styleId="23">
    <w:name w:val="Plain Text"/>
    <w:basedOn w:val="1"/>
    <w:next w:val="1"/>
    <w:qFormat/>
    <w:uiPriority w:val="0"/>
    <w:rPr>
      <w:rFonts w:ascii="宋体" w:hAnsi="Courier New"/>
    </w:rPr>
  </w:style>
  <w:style w:type="paragraph" w:styleId="24">
    <w:name w:val="toc 8"/>
    <w:basedOn w:val="1"/>
    <w:next w:val="1"/>
    <w:qFormat/>
    <w:uiPriority w:val="0"/>
    <w:pPr>
      <w:ind w:left="2940" w:leftChars="1400"/>
    </w:pPr>
  </w:style>
  <w:style w:type="paragraph" w:styleId="25">
    <w:name w:val="Date"/>
    <w:basedOn w:val="1"/>
    <w:next w:val="1"/>
    <w:qFormat/>
    <w:uiPriority w:val="0"/>
    <w:pPr>
      <w:ind w:firstLine="0" w:firstLineChars="0"/>
      <w:jc w:val="right"/>
    </w:pPr>
    <w:rPr>
      <w:color w:val="262626" w:themeColor="text1" w:themeTint="D9"/>
      <w14:textFill>
        <w14:solidFill>
          <w14:schemeClr w14:val="tx1">
            <w14:lumMod w14:val="85000"/>
            <w14:lumOff w14:val="15000"/>
          </w14:schemeClr>
        </w14:solidFill>
      </w14:textFill>
    </w:rPr>
  </w:style>
  <w:style w:type="paragraph" w:styleId="26">
    <w:name w:val="Body Text Indent 2"/>
    <w:basedOn w:val="1"/>
    <w:link w:val="66"/>
    <w:qFormat/>
    <w:uiPriority w:val="0"/>
    <w:pPr>
      <w:spacing w:after="120" w:afterLines="0" w:afterAutospacing="0" w:line="480" w:lineRule="auto"/>
      <w:ind w:left="420" w:leftChars="200"/>
    </w:pPr>
  </w:style>
  <w:style w:type="paragraph" w:styleId="27">
    <w:name w:val="endnote text"/>
    <w:basedOn w:val="1"/>
    <w:qFormat/>
    <w:uiPriority w:val="0"/>
    <w:pPr>
      <w:jc w:val="left"/>
    </w:pPr>
    <w:rPr>
      <w:color w:val="262626" w:themeColor="text1" w:themeTint="D9"/>
      <w14:textFill>
        <w14:solidFill>
          <w14:schemeClr w14:val="tx1">
            <w14:lumMod w14:val="85000"/>
            <w14:lumOff w14:val="15000"/>
          </w14:schemeClr>
        </w14:solidFill>
      </w14:textFill>
    </w:rPr>
  </w:style>
  <w:style w:type="paragraph" w:styleId="28">
    <w:name w:val="Balloon Text"/>
    <w:basedOn w:val="1"/>
    <w:link w:val="83"/>
    <w:qFormat/>
    <w:uiPriority w:val="0"/>
    <w:rPr>
      <w:sz w:val="18"/>
      <w:szCs w:val="18"/>
    </w:rPr>
  </w:style>
  <w:style w:type="paragraph" w:styleId="29">
    <w:name w:val="footer"/>
    <w:basedOn w:val="1"/>
    <w:link w:val="67"/>
    <w:qFormat/>
    <w:uiPriority w:val="0"/>
    <w:pPr>
      <w:tabs>
        <w:tab w:val="center" w:pos="4153"/>
        <w:tab w:val="right" w:pos="8306"/>
      </w:tabs>
      <w:ind w:firstLine="0" w:firstLineChars="0"/>
      <w:jc w:val="left"/>
    </w:pPr>
    <w:rPr>
      <w:sz w:val="18"/>
      <w:szCs w:val="18"/>
    </w:rPr>
  </w:style>
  <w:style w:type="paragraph" w:styleId="30">
    <w:name w:val="envelope return"/>
    <w:basedOn w:val="1"/>
    <w:qFormat/>
    <w:uiPriority w:val="0"/>
    <w:pPr>
      <w:snapToGrid w:val="0"/>
    </w:pPr>
    <w:rPr>
      <w:rFonts w:ascii="Arial" w:hAnsi="Arial"/>
    </w:rPr>
  </w:style>
  <w:style w:type="paragraph" w:styleId="31">
    <w:name w:val="header"/>
    <w:basedOn w:val="1"/>
    <w:link w:val="68"/>
    <w:qFormat/>
    <w:uiPriority w:val="0"/>
    <w:pPr>
      <w:pBdr>
        <w:top w:val="none" w:color="auto" w:sz="0" w:space="1"/>
        <w:left w:val="none" w:color="auto" w:sz="0" w:space="4"/>
        <w:bottom w:val="none" w:color="auto" w:sz="0" w:space="1"/>
        <w:right w:val="none" w:color="auto" w:sz="0" w:space="4"/>
      </w:pBdr>
      <w:tabs>
        <w:tab w:val="center" w:pos="4153"/>
        <w:tab w:val="right" w:pos="8306"/>
      </w:tabs>
      <w:spacing w:line="240" w:lineRule="auto"/>
    </w:pPr>
    <w:rPr>
      <w:sz w:val="18"/>
      <w:szCs w:val="18"/>
    </w:rPr>
  </w:style>
  <w:style w:type="paragraph" w:styleId="32">
    <w:name w:val="Signature"/>
    <w:basedOn w:val="1"/>
    <w:qFormat/>
    <w:uiPriority w:val="0"/>
    <w:pPr>
      <w:ind w:firstLine="0" w:firstLineChars="0"/>
      <w:jc w:val="right"/>
    </w:pPr>
    <w:rPr>
      <w:color w:val="262626" w:themeColor="text1" w:themeTint="D9"/>
      <w14:textFill>
        <w14:solidFill>
          <w14:schemeClr w14:val="tx1">
            <w14:lumMod w14:val="85000"/>
            <w14:lumOff w14:val="15000"/>
          </w14:schemeClr>
        </w14:solidFill>
      </w14:textFill>
    </w:rPr>
  </w:style>
  <w:style w:type="paragraph" w:styleId="33">
    <w:name w:val="toc 1"/>
    <w:basedOn w:val="1"/>
    <w:next w:val="1"/>
    <w:qFormat/>
    <w:uiPriority w:val="0"/>
  </w:style>
  <w:style w:type="paragraph" w:styleId="34">
    <w:name w:val="toc 4"/>
    <w:basedOn w:val="1"/>
    <w:next w:val="1"/>
    <w:qFormat/>
    <w:uiPriority w:val="0"/>
    <w:pPr>
      <w:ind w:left="1260" w:leftChars="600"/>
    </w:pPr>
  </w:style>
  <w:style w:type="paragraph" w:styleId="35">
    <w:name w:val="Subtitle"/>
    <w:basedOn w:val="1"/>
    <w:next w:val="7"/>
    <w:qFormat/>
    <w:uiPriority w:val="0"/>
    <w:pPr>
      <w:spacing w:before="240" w:beforeLines="0" w:beforeAutospacing="0" w:after="60" w:afterLines="0" w:afterAutospacing="0" w:line="312" w:lineRule="auto"/>
      <w:jc w:val="center"/>
      <w:outlineLvl w:val="1"/>
    </w:pPr>
    <w:rPr>
      <w:rFonts w:asciiTheme="majorAscii" w:hAnsiTheme="majorAscii" w:eastAsiaTheme="majorEastAsia"/>
      <w:b/>
      <w:kern w:val="28"/>
      <w:sz w:val="32"/>
      <w:szCs w:val="32"/>
    </w:rPr>
  </w:style>
  <w:style w:type="paragraph" w:styleId="36">
    <w:name w:val="footnote text"/>
    <w:basedOn w:val="1"/>
    <w:qFormat/>
    <w:uiPriority w:val="0"/>
    <w:pPr>
      <w:jc w:val="left"/>
    </w:pPr>
    <w:rPr>
      <w:rFonts w:asciiTheme="minorAscii" w:hAnsiTheme="minorAscii" w:eastAsiaTheme="minorEastAsia"/>
      <w:sz w:val="24"/>
      <w:szCs w:val="24"/>
    </w:rPr>
  </w:style>
  <w:style w:type="paragraph" w:styleId="37">
    <w:name w:val="toc 6"/>
    <w:basedOn w:val="1"/>
    <w:next w:val="1"/>
    <w:qFormat/>
    <w:uiPriority w:val="0"/>
    <w:pPr>
      <w:ind w:left="2100" w:leftChars="1000"/>
    </w:pPr>
  </w:style>
  <w:style w:type="paragraph" w:styleId="38">
    <w:name w:val="toc 2"/>
    <w:basedOn w:val="1"/>
    <w:next w:val="1"/>
    <w:qFormat/>
    <w:uiPriority w:val="0"/>
    <w:pPr>
      <w:ind w:left="420" w:leftChars="200"/>
    </w:pPr>
  </w:style>
  <w:style w:type="paragraph" w:styleId="39">
    <w:name w:val="toc 9"/>
    <w:basedOn w:val="1"/>
    <w:next w:val="1"/>
    <w:qFormat/>
    <w:uiPriority w:val="0"/>
    <w:pPr>
      <w:ind w:left="3360" w:leftChars="1600"/>
    </w:pPr>
  </w:style>
  <w:style w:type="paragraph" w:styleId="40">
    <w:name w:val="Body Text 2"/>
    <w:basedOn w:val="1"/>
    <w:link w:val="69"/>
    <w:qFormat/>
    <w:uiPriority w:val="0"/>
    <w:pPr>
      <w:spacing w:after="120" w:afterLines="0" w:afterAutospacing="0" w:line="480" w:lineRule="auto"/>
    </w:pPr>
  </w:style>
  <w:style w:type="paragraph" w:styleId="41">
    <w:name w:val="HTML Preformatted"/>
    <w:basedOn w:val="1"/>
    <w:qFormat/>
    <w:uiPriority w:val="0"/>
    <w:rPr>
      <w:rFonts w:ascii="Courier New" w:hAnsi="Courier New"/>
      <w:sz w:val="20"/>
    </w:rPr>
  </w:style>
  <w:style w:type="paragraph" w:styleId="42">
    <w:name w:val="Normal (Web)"/>
    <w:basedOn w:val="1"/>
    <w:qFormat/>
    <w:uiPriority w:val="0"/>
    <w:rPr>
      <w:sz w:val="24"/>
    </w:rPr>
  </w:style>
  <w:style w:type="paragraph" w:styleId="43">
    <w:name w:val="Title"/>
    <w:basedOn w:val="1"/>
    <w:qFormat/>
    <w:uiPriority w:val="0"/>
    <w:pPr>
      <w:adjustRightInd w:val="0"/>
      <w:snapToGrid w:val="0"/>
      <w:spacing w:beforeLines="0" w:beforeAutospacing="0" w:after="100" w:afterLines="100" w:afterAutospacing="0"/>
      <w:jc w:val="center"/>
      <w:outlineLvl w:val="0"/>
    </w:pPr>
    <w:rPr>
      <w:rFonts w:asciiTheme="majorAscii" w:hAnsiTheme="majorAscii" w:eastAsiaTheme="majorEastAsia"/>
      <w:b/>
      <w:bCs/>
      <w:sz w:val="44"/>
      <w:szCs w:val="44"/>
    </w:rPr>
  </w:style>
  <w:style w:type="paragraph" w:styleId="44">
    <w:name w:val="annotation subject"/>
    <w:basedOn w:val="17"/>
    <w:next w:val="17"/>
    <w:qFormat/>
    <w:uiPriority w:val="0"/>
    <w:rPr>
      <w:b/>
      <w:color w:val="262626" w:themeColor="text1" w:themeTint="D9"/>
      <w14:textFill>
        <w14:solidFill>
          <w14:schemeClr w14:val="tx1">
            <w14:lumMod w14:val="85000"/>
            <w14:lumOff w14:val="15000"/>
          </w14:schemeClr>
        </w14:solidFill>
      </w14:textFill>
    </w:rPr>
  </w:style>
  <w:style w:type="paragraph" w:styleId="45">
    <w:name w:val="Body Text First Indent"/>
    <w:basedOn w:val="7"/>
    <w:qFormat/>
    <w:uiPriority w:val="0"/>
    <w:pPr>
      <w:ind w:firstLine="420" w:firstLineChars="100"/>
    </w:pPr>
  </w:style>
  <w:style w:type="paragraph" w:styleId="46">
    <w:name w:val="Body Text First Indent 2"/>
    <w:basedOn w:val="20"/>
    <w:qFormat/>
    <w:uiPriority w:val="0"/>
    <w:pPr>
      <w:ind w:firstLine="420" w:firstLineChars="200"/>
    </w:pPr>
  </w:style>
  <w:style w:type="table" w:styleId="48">
    <w:name w:val="Table Grid"/>
    <w:basedOn w:val="47"/>
    <w:unhideWhenUsed/>
    <w:qFormat/>
    <w:uiPriority w:val="99"/>
    <w:pPr>
      <w:widowControl w:val="0"/>
      <w:jc w:val="both"/>
    </w:pPr>
    <w:rPr>
      <w:rFonts w:eastAsia="Times New Roman"/>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basedOn w:val="49"/>
    <w:qFormat/>
    <w:uiPriority w:val="0"/>
    <w:rPr>
      <w:rFonts w:asciiTheme="minorAscii" w:hAnsiTheme="minorAscii" w:eastAsiaTheme="minorEastAsia"/>
      <w:b/>
    </w:rPr>
  </w:style>
  <w:style w:type="character" w:styleId="51">
    <w:name w:val="endnote reference"/>
    <w:basedOn w:val="49"/>
    <w:qFormat/>
    <w:uiPriority w:val="0"/>
    <w:rPr>
      <w:rFonts w:asciiTheme="minorAscii" w:hAnsiTheme="minorAscii" w:eastAsiaTheme="minorEastAsia"/>
      <w:color w:val="262626" w:themeColor="text1" w:themeTint="D9"/>
      <w:vertAlign w:val="superscript"/>
      <w14:textFill>
        <w14:solidFill>
          <w14:schemeClr w14:val="tx1">
            <w14:lumMod w14:val="85000"/>
            <w14:lumOff w14:val="15000"/>
          </w14:schemeClr>
        </w14:solidFill>
      </w14:textFill>
    </w:rPr>
  </w:style>
  <w:style w:type="character" w:styleId="52">
    <w:name w:val="page number"/>
    <w:qFormat/>
    <w:uiPriority w:val="0"/>
    <w:rPr>
      <w:rFonts w:cs="Times New Roman" w:asciiTheme="minorAscii" w:hAnsiTheme="minorAscii" w:eastAsiaTheme="minorEastAsia"/>
      <w:color w:val="262626" w:themeColor="text1" w:themeTint="D9"/>
      <w:spacing w:val="-6"/>
      <w:kern w:val="2"/>
      <w:sz w:val="28"/>
      <w:szCs w:val="28"/>
      <w:lang w:val="en-US" w:eastAsia="zh-CN" w:bidi="ar-SA"/>
      <w14:textFill>
        <w14:solidFill>
          <w14:schemeClr w14:val="tx1">
            <w14:lumMod w14:val="85000"/>
            <w14:lumOff w14:val="15000"/>
          </w14:schemeClr>
        </w14:solidFill>
      </w14:textFill>
    </w:rPr>
  </w:style>
  <w:style w:type="character" w:styleId="53">
    <w:name w:val="FollowedHyperlink"/>
    <w:basedOn w:val="49"/>
    <w:qFormat/>
    <w:uiPriority w:val="0"/>
    <w:rPr>
      <w:rFonts w:cs="Times New Roman" w:asciiTheme="minorAscii" w:hAnsiTheme="minorAscii" w:eastAsiaTheme="minorEastAsia"/>
      <w:color w:val="800080"/>
      <w:spacing w:val="-6"/>
      <w:kern w:val="2"/>
      <w:sz w:val="24"/>
      <w:szCs w:val="24"/>
      <w:u w:val="single"/>
      <w:lang w:val="en-US" w:eastAsia="zh-CN" w:bidi="ar-SA"/>
    </w:rPr>
  </w:style>
  <w:style w:type="character" w:styleId="54">
    <w:name w:val="Emphasis"/>
    <w:basedOn w:val="49"/>
    <w:qFormat/>
    <w:uiPriority w:val="0"/>
    <w:rPr>
      <w:i/>
    </w:rPr>
  </w:style>
  <w:style w:type="character" w:styleId="55">
    <w:name w:val="Hyperlink"/>
    <w:basedOn w:val="49"/>
    <w:qFormat/>
    <w:uiPriority w:val="0"/>
    <w:rPr>
      <w:rFonts w:cs="Times New Roman" w:asciiTheme="minorAscii" w:hAnsiTheme="minorAscii" w:eastAsiaTheme="minorEastAsia"/>
      <w:caps/>
      <w:color w:val="0000FF"/>
      <w:spacing w:val="-6"/>
      <w:kern w:val="2"/>
      <w:sz w:val="24"/>
      <w:szCs w:val="24"/>
      <w:u w:val="single"/>
      <w:lang w:val="en-US" w:eastAsia="zh-CN" w:bidi="ar-SA"/>
    </w:rPr>
  </w:style>
  <w:style w:type="character" w:styleId="56">
    <w:name w:val="annotation reference"/>
    <w:basedOn w:val="49"/>
    <w:qFormat/>
    <w:uiPriority w:val="0"/>
    <w:rPr>
      <w:rFonts w:asciiTheme="minorAscii" w:hAnsiTheme="minorAscii" w:eastAsiaTheme="minorEastAsia"/>
      <w:color w:val="262626" w:themeColor="text1" w:themeTint="D9"/>
      <w:sz w:val="21"/>
      <w:szCs w:val="21"/>
      <w14:textFill>
        <w14:solidFill>
          <w14:schemeClr w14:val="tx1">
            <w14:lumMod w14:val="85000"/>
            <w14:lumOff w14:val="15000"/>
          </w14:schemeClr>
        </w14:solidFill>
      </w14:textFill>
    </w:rPr>
  </w:style>
  <w:style w:type="character" w:styleId="57">
    <w:name w:val="footnote reference"/>
    <w:basedOn w:val="49"/>
    <w:qFormat/>
    <w:uiPriority w:val="0"/>
    <w:rPr>
      <w:rFonts w:asciiTheme="minorAscii" w:hAnsiTheme="minorAscii" w:eastAsiaTheme="minorEastAsia"/>
      <w:color w:val="262626" w:themeColor="text1" w:themeTint="D9"/>
      <w:vertAlign w:val="superscript"/>
      <w14:textFill>
        <w14:solidFill>
          <w14:schemeClr w14:val="tx1">
            <w14:lumMod w14:val="85000"/>
            <w14:lumOff w14:val="15000"/>
          </w14:schemeClr>
        </w14:solidFill>
      </w14:textFill>
    </w:rPr>
  </w:style>
  <w:style w:type="paragraph" w:customStyle="1" w:styleId="5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59">
    <w:name w:val="正文文本 21"/>
    <w:basedOn w:val="1"/>
    <w:qFormat/>
    <w:locked/>
    <w:uiPriority w:val="0"/>
    <w:pPr>
      <w:spacing w:line="500" w:lineRule="exact"/>
    </w:pPr>
    <w:rPr>
      <w:color w:val="000000"/>
      <w:sz w:val="30"/>
      <w:szCs w:val="24"/>
    </w:rPr>
  </w:style>
  <w:style w:type="character" w:customStyle="1" w:styleId="60">
    <w:name w:val="标题 2 字符"/>
    <w:link w:val="3"/>
    <w:qFormat/>
    <w:uiPriority w:val="99"/>
    <w:rPr>
      <w:b/>
      <w:bCs/>
      <w:sz w:val="32"/>
      <w:szCs w:val="32"/>
    </w:rPr>
  </w:style>
  <w:style w:type="character" w:customStyle="1" w:styleId="61">
    <w:name w:val="标题 1 字符"/>
    <w:link w:val="2"/>
    <w:qFormat/>
    <w:uiPriority w:val="99"/>
    <w:rPr>
      <w:b/>
      <w:bCs/>
      <w:kern w:val="44"/>
      <w:sz w:val="36"/>
      <w:szCs w:val="36"/>
    </w:rPr>
  </w:style>
  <w:style w:type="character" w:customStyle="1" w:styleId="62">
    <w:name w:val="标题 3 字符"/>
    <w:link w:val="4"/>
    <w:qFormat/>
    <w:uiPriority w:val="99"/>
    <w:rPr>
      <w:b/>
      <w:bCs/>
      <w:sz w:val="30"/>
      <w:szCs w:val="30"/>
    </w:rPr>
  </w:style>
  <w:style w:type="character" w:customStyle="1" w:styleId="63">
    <w:name w:val="文档结构图 字符"/>
    <w:link w:val="15"/>
    <w:semiHidden/>
    <w:qFormat/>
    <w:uiPriority w:val="99"/>
  </w:style>
  <w:style w:type="character" w:customStyle="1" w:styleId="64">
    <w:name w:val="正文文本 3 字符"/>
    <w:link w:val="19"/>
    <w:qFormat/>
    <w:uiPriority w:val="99"/>
    <w:rPr>
      <w:sz w:val="16"/>
    </w:rPr>
  </w:style>
  <w:style w:type="character" w:customStyle="1" w:styleId="65">
    <w:name w:val="正文文本缩进 字符"/>
    <w:link w:val="20"/>
    <w:qFormat/>
    <w:uiPriority w:val="99"/>
  </w:style>
  <w:style w:type="character" w:customStyle="1" w:styleId="66">
    <w:name w:val="正文文本缩进 2 字符"/>
    <w:link w:val="26"/>
    <w:qFormat/>
    <w:uiPriority w:val="0"/>
  </w:style>
  <w:style w:type="character" w:customStyle="1" w:styleId="67">
    <w:name w:val="页脚 字符"/>
    <w:link w:val="29"/>
    <w:qFormat/>
    <w:uiPriority w:val="99"/>
    <w:rPr>
      <w:sz w:val="18"/>
      <w:szCs w:val="18"/>
    </w:rPr>
  </w:style>
  <w:style w:type="character" w:customStyle="1" w:styleId="68">
    <w:name w:val="页眉 字符"/>
    <w:link w:val="31"/>
    <w:qFormat/>
    <w:uiPriority w:val="99"/>
    <w:rPr>
      <w:sz w:val="18"/>
      <w:szCs w:val="18"/>
    </w:rPr>
  </w:style>
  <w:style w:type="character" w:customStyle="1" w:styleId="69">
    <w:name w:val="正文文本 2 字符"/>
    <w:link w:val="40"/>
    <w:semiHidden/>
    <w:qFormat/>
    <w:uiPriority w:val="99"/>
  </w:style>
  <w:style w:type="character" w:customStyle="1" w:styleId="70">
    <w:name w:val="15"/>
    <w:basedOn w:val="49"/>
    <w:qFormat/>
    <w:uiPriority w:val="0"/>
    <w:rPr>
      <w:rFonts w:hint="default" w:ascii="Times New Roman" w:hAnsi="Times New Roman" w:cs="Times New Roman"/>
      <w:b/>
      <w:bCs/>
      <w:kern w:val="44"/>
      <w:sz w:val="44"/>
      <w:szCs w:val="44"/>
    </w:rPr>
  </w:style>
  <w:style w:type="character" w:customStyle="1" w:styleId="71">
    <w:name w:val="16"/>
    <w:basedOn w:val="49"/>
    <w:qFormat/>
    <w:uiPriority w:val="0"/>
    <w:rPr>
      <w:rFonts w:hint="default" w:ascii="Times New Roman" w:hAnsi="Times New Roman" w:cs="Times New Roman"/>
      <w:b/>
      <w:bCs/>
      <w:sz w:val="32"/>
      <w:szCs w:val="32"/>
    </w:rPr>
  </w:style>
  <w:style w:type="paragraph" w:customStyle="1" w:styleId="72">
    <w:name w:val="_Style 2"/>
    <w:basedOn w:val="1"/>
    <w:qFormat/>
    <w:uiPriority w:val="0"/>
  </w:style>
  <w:style w:type="paragraph" w:customStyle="1" w:styleId="73">
    <w:name w:val="正文缩进1"/>
    <w:basedOn w:val="1"/>
    <w:qFormat/>
    <w:uiPriority w:val="0"/>
    <w:pPr>
      <w:autoSpaceDE w:val="0"/>
      <w:autoSpaceDN w:val="0"/>
      <w:adjustRightInd w:val="0"/>
      <w:ind w:firstLine="420"/>
    </w:pPr>
    <w:rPr>
      <w:rFonts w:ascii="宋体" w:hAnsi="Calibri"/>
      <w:sz w:val="24"/>
      <w:szCs w:val="22"/>
    </w:rPr>
  </w:style>
  <w:style w:type="paragraph" w:customStyle="1" w:styleId="74">
    <w:name w:val="Table Paragraph"/>
    <w:basedOn w:val="1"/>
    <w:qFormat/>
    <w:uiPriority w:val="99"/>
    <w:pPr>
      <w:widowControl w:val="0"/>
    </w:pPr>
    <w:rPr>
      <w:rFonts w:ascii="宋体" w:hAnsi="宋体" w:cs="宋体"/>
      <w:sz w:val="22"/>
      <w:szCs w:val="22"/>
      <w:lang w:eastAsia="en-US"/>
    </w:rPr>
  </w:style>
  <w:style w:type="paragraph" w:customStyle="1" w:styleId="75">
    <w:name w:val="样式 样式 首行缩进:  2.57 字符 + 首行缩进:  2.57 字符"/>
    <w:basedOn w:val="1"/>
    <w:qFormat/>
    <w:uiPriority w:val="0"/>
    <w:pPr>
      <w:spacing w:line="360" w:lineRule="auto"/>
      <w:ind w:firstLine="771" w:firstLineChars="257"/>
    </w:pPr>
    <w:rPr>
      <w:rFonts w:eastAsia="仿宋" w:cs="宋体"/>
      <w:sz w:val="30"/>
      <w:szCs w:val="30"/>
    </w:rPr>
  </w:style>
  <w:style w:type="paragraph" w:customStyle="1" w:styleId="76">
    <w:name w:val="索引 11"/>
    <w:basedOn w:val="1"/>
    <w:next w:val="1"/>
    <w:qFormat/>
    <w:uiPriority w:val="0"/>
    <w:pPr>
      <w:spacing w:line="360" w:lineRule="auto"/>
    </w:pPr>
    <w:rPr>
      <w:rFonts w:ascii="仿宋_GB2312" w:eastAsia="仿宋_GB2312"/>
      <w:sz w:val="24"/>
      <w:szCs w:val="20"/>
    </w:rPr>
  </w:style>
  <w:style w:type="paragraph" w:customStyle="1" w:styleId="77">
    <w:name w:val="纯文本1"/>
    <w:basedOn w:val="1"/>
    <w:qFormat/>
    <w:uiPriority w:val="0"/>
    <w:rPr>
      <w:rFonts w:ascii="宋体" w:hAnsi="Courier New"/>
      <w:szCs w:val="22"/>
    </w:rPr>
  </w:style>
  <w:style w:type="paragraph" w:customStyle="1" w:styleId="78">
    <w:name w:val="一级条目"/>
    <w:basedOn w:val="1"/>
    <w:qFormat/>
    <w:uiPriority w:val="0"/>
    <w:pPr>
      <w:numPr>
        <w:ilvl w:val="0"/>
        <w:numId w:val="1"/>
      </w:numPr>
      <w:ind w:left="0" w:firstLine="200"/>
      <w:outlineLvl w:val="2"/>
    </w:pPr>
    <w:rPr>
      <w:szCs w:val="32"/>
    </w:rPr>
  </w:style>
  <w:style w:type="paragraph" w:customStyle="1" w:styleId="79">
    <w:name w:val="二级条目"/>
    <w:basedOn w:val="78"/>
    <w:qFormat/>
    <w:uiPriority w:val="0"/>
    <w:pPr>
      <w:numPr>
        <w:ilvl w:val="1"/>
      </w:numPr>
      <w:ind w:left="0" w:firstLine="200"/>
      <w:outlineLvl w:val="3"/>
    </w:pPr>
  </w:style>
  <w:style w:type="paragraph" w:customStyle="1" w:styleId="80">
    <w:name w:val="正文_12"/>
    <w:basedOn w:val="1"/>
    <w:qFormat/>
    <w:uiPriority w:val="0"/>
    <w:pPr>
      <w:widowControl w:val="0"/>
      <w:jc w:val="both"/>
    </w:pPr>
    <w:rPr>
      <w:rFonts w:ascii="Calibri" w:hAnsi="Calibri"/>
      <w:kern w:val="2"/>
    </w:rPr>
  </w:style>
  <w:style w:type="paragraph" w:customStyle="1" w:styleId="81">
    <w:name w:val="msonormalcxspmiddle"/>
    <w:basedOn w:val="1"/>
    <w:qFormat/>
    <w:uiPriority w:val="0"/>
    <w:pPr>
      <w:spacing w:before="100" w:beforeAutospacing="1" w:after="100" w:afterAutospacing="1"/>
    </w:pPr>
    <w:rPr>
      <w:rFonts w:ascii="宋体" w:hAnsi="宋体" w:cs="宋体"/>
      <w:sz w:val="24"/>
    </w:rPr>
  </w:style>
  <w:style w:type="paragraph" w:customStyle="1" w:styleId="82">
    <w:name w:val="列出段落1"/>
    <w:basedOn w:val="1"/>
    <w:qFormat/>
    <w:uiPriority w:val="1"/>
  </w:style>
  <w:style w:type="character" w:customStyle="1" w:styleId="83">
    <w:name w:val="批注框文本 字符"/>
    <w:link w:val="28"/>
    <w:semiHidden/>
    <w:qFormat/>
    <w:uiPriority w:val="99"/>
    <w:rPr>
      <w:sz w:val="18"/>
      <w:szCs w:val="18"/>
    </w:rPr>
  </w:style>
  <w:style w:type="paragraph" w:customStyle="1" w:styleId="84">
    <w:name w:val="列出段落2"/>
    <w:basedOn w:val="1"/>
    <w:qFormat/>
    <w:uiPriority w:val="0"/>
    <w:pPr>
      <w:ind w:firstLine="420" w:firstLineChars="200"/>
    </w:pPr>
  </w:style>
  <w:style w:type="paragraph" w:customStyle="1" w:styleId="85">
    <w:name w:val="第四行"/>
    <w:basedOn w:val="86"/>
    <w:qFormat/>
    <w:uiPriority w:val="0"/>
    <w:pPr>
      <w:tabs>
        <w:tab w:val="left" w:pos="1200"/>
      </w:tabs>
    </w:pPr>
    <w:rPr>
      <w:kern w:val="2"/>
      <w:sz w:val="28"/>
      <w:szCs w:val="20"/>
    </w:rPr>
  </w:style>
  <w:style w:type="paragraph" w:customStyle="1" w:styleId="86">
    <w:name w:val="第一行"/>
    <w:basedOn w:val="1"/>
    <w:qFormat/>
    <w:uiPriority w:val="0"/>
    <w:pPr>
      <w:tabs>
        <w:tab w:val="left" w:pos="1200"/>
      </w:tabs>
      <w:spacing w:beforeLines="100" w:line="360" w:lineRule="auto"/>
      <w:jc w:val="center"/>
    </w:pPr>
    <w:rPr>
      <w:rFonts w:ascii="宋体" w:hAnsi="Arial Narrow"/>
      <w:b/>
      <w:spacing w:val="40"/>
      <w:sz w:val="32"/>
    </w:rPr>
  </w:style>
  <w:style w:type="paragraph" w:customStyle="1" w:styleId="87">
    <w:name w:val="注"/>
    <w:basedOn w:val="1"/>
    <w:qFormat/>
    <w:uiPriority w:val="0"/>
    <w:pPr>
      <w:spacing w:line="360" w:lineRule="auto"/>
      <w:ind w:left="200" w:hanging="200" w:hangingChars="200"/>
      <w:jc w:val="both"/>
    </w:pPr>
    <w:rPr>
      <w:rFonts w:ascii="宋体" w:hAnsi="宋体"/>
      <w:b/>
      <w:kern w:val="2"/>
      <w:szCs w:val="20"/>
    </w:rPr>
  </w:style>
  <w:style w:type="character" w:customStyle="1" w:styleId="88">
    <w:name w:val="awspan"/>
    <w:basedOn w:val="49"/>
    <w:qFormat/>
    <w:uiPriority w:val="0"/>
  </w:style>
  <w:style w:type="paragraph" w:styleId="89">
    <w:name w:val="List Paragraph"/>
    <w:basedOn w:val="1"/>
    <w:qFormat/>
    <w:uiPriority w:val="99"/>
    <w:pPr>
      <w:ind w:firstLine="420" w:firstLineChars="200"/>
    </w:pPr>
  </w:style>
  <w:style w:type="paragraph" w:customStyle="1" w:styleId="90">
    <w:name w:val="列表段落1"/>
    <w:basedOn w:val="1"/>
    <w:qFormat/>
    <w:uiPriority w:val="0"/>
    <w:pPr>
      <w:ind w:firstLine="420" w:firstLineChars="200"/>
    </w:pPr>
  </w:style>
  <w:style w:type="paragraph" w:customStyle="1" w:styleId="91">
    <w:name w:val="正文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92">
    <w:name w:val="正文1"/>
    <w:basedOn w:val="1"/>
    <w:qFormat/>
    <w:uiPriority w:val="0"/>
    <w:pPr>
      <w:ind w:firstLine="200"/>
    </w:pPr>
    <w:rPr>
      <w:rFonts w:eastAsia="Times New Roman" w:cs="宋体"/>
      <w:kern w:val="0"/>
      <w:sz w:val="28"/>
      <w:szCs w:val="20"/>
      <w:lang w:eastAsia="en-US"/>
    </w:rPr>
  </w:style>
  <w:style w:type="paragraph" w:customStyle="1" w:styleId="93">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4">
    <w:name w:val="文档说明标题"/>
    <w:next w:val="1"/>
    <w:autoRedefine/>
    <w:qFormat/>
    <w:uiPriority w:val="0"/>
    <w:pPr>
      <w:adjustRightInd w:val="0"/>
      <w:snapToGrid w:val="0"/>
      <w:spacing w:before="50" w:beforeLines="50" w:line="312" w:lineRule="auto"/>
      <w:jc w:val="center"/>
      <w:outlineLvl w:val="9"/>
    </w:pPr>
    <w:rPr>
      <w:rFonts w:hint="default" w:cs="Times New Roman" w:asciiTheme="majorAscii" w:hAnsiTheme="majorAscii" w:eastAsiaTheme="majorEastAsia"/>
      <w:b/>
      <w:sz w:val="32"/>
      <w:szCs w:val="32"/>
      <w:lang w:eastAsia="zh-Hans"/>
    </w:rPr>
  </w:style>
  <w:style w:type="paragraph" w:customStyle="1" w:styleId="95">
    <w:name w:val="章标题"/>
    <w:next w:val="1"/>
    <w:autoRedefine/>
    <w:qFormat/>
    <w:uiPriority w:val="0"/>
    <w:pPr>
      <w:keepNext/>
      <w:keepLines/>
      <w:bidi w:val="0"/>
      <w:adjustRightInd w:val="0"/>
      <w:snapToGrid w:val="0"/>
      <w:spacing w:before="50" w:beforeLines="50" w:afterLines="0" w:line="312" w:lineRule="auto"/>
      <w:jc w:val="center"/>
      <w:outlineLvl w:val="0"/>
    </w:pPr>
    <w:rPr>
      <w:rFonts w:cs="Times New Roman" w:asciiTheme="majorAscii" w:hAnsiTheme="majorAscii" w:eastAsiaTheme="majorEastAsia"/>
      <w:b/>
      <w:bCs/>
      <w:kern w:val="44"/>
      <w:sz w:val="32"/>
      <w:szCs w:val="32"/>
      <w:lang w:eastAsia="zh-Hans"/>
    </w:rPr>
  </w:style>
  <w:style w:type="paragraph" w:customStyle="1" w:styleId="96">
    <w:name w:val="节标题"/>
    <w:next w:val="1"/>
    <w:autoRedefine/>
    <w:qFormat/>
    <w:uiPriority w:val="0"/>
    <w:pPr>
      <w:keepNext/>
      <w:keepLines/>
      <w:adjustRightInd w:val="0"/>
      <w:snapToGrid w:val="0"/>
      <w:spacing w:before="50" w:beforeLines="50" w:afterLines="0" w:line="312" w:lineRule="auto"/>
      <w:jc w:val="center"/>
      <w:outlineLvl w:val="0"/>
    </w:pPr>
    <w:rPr>
      <w:rFonts w:cs="Times New Roman" w:asciiTheme="majorAscii" w:hAnsiTheme="majorAscii" w:eastAsiaTheme="majorEastAsia"/>
      <w:b/>
      <w:kern w:val="44"/>
      <w:sz w:val="30"/>
      <w:szCs w:val="30"/>
      <w:lang w:eastAsia="zh-Hans"/>
    </w:rPr>
  </w:style>
  <w:style w:type="paragraph" w:customStyle="1" w:styleId="97">
    <w:name w:val="附录标题"/>
    <w:next w:val="7"/>
    <w:autoRedefine/>
    <w:qFormat/>
    <w:uiPriority w:val="0"/>
    <w:pPr>
      <w:keepNext/>
      <w:keepLines/>
      <w:adjustRightInd w:val="0"/>
      <w:snapToGrid w:val="0"/>
      <w:spacing w:before="50" w:beforeLines="50" w:line="312" w:lineRule="auto"/>
      <w:jc w:val="center"/>
      <w:outlineLvl w:val="0"/>
    </w:pPr>
    <w:rPr>
      <w:rFonts w:cs="Times New Roman" w:asciiTheme="majorAscii" w:hAnsiTheme="majorAscii" w:eastAsiaTheme="majorEastAsia"/>
      <w:b/>
      <w:kern w:val="44"/>
      <w:sz w:val="32"/>
      <w:szCs w:val="32"/>
      <w:lang w:eastAsia="zh-Hans"/>
    </w:rPr>
  </w:style>
  <w:style w:type="character" w:customStyle="1" w:styleId="98">
    <w:name w:val="摘要"/>
    <w:basedOn w:val="49"/>
    <w:autoRedefine/>
    <w:qFormat/>
    <w:uiPriority w:val="0"/>
    <w:rPr>
      <w:rFonts w:hint="eastAsia" w:ascii="宋体" w:hAnsi="宋体" w:eastAsia="宋体"/>
      <w:b/>
      <w:lang w:val="en-US" w:eastAsia="zh-Hans"/>
    </w:rPr>
  </w:style>
  <w:style w:type="character" w:customStyle="1" w:styleId="99">
    <w:name w:val="关键词"/>
    <w:basedOn w:val="49"/>
    <w:autoRedefine/>
    <w:qFormat/>
    <w:uiPriority w:val="0"/>
    <w:rPr>
      <w:rFonts w:hint="eastAsia" w:ascii="宋体" w:hAnsi="宋体" w:eastAsia="宋体"/>
      <w:b/>
      <w:lang w:val="en-US" w:eastAsia="zh-Hans"/>
    </w:rPr>
  </w:style>
  <w:style w:type="paragraph" w:customStyle="1" w:styleId="100">
    <w:name w:val="题注1"/>
    <w:basedOn w:val="1"/>
    <w:autoRedefine/>
    <w:qFormat/>
    <w:uiPriority w:val="0"/>
    <w:pPr>
      <w:jc w:val="center"/>
    </w:pPr>
    <w:rPr>
      <w:rFonts w:hint="default" w:asciiTheme="minorAscii" w:hAnsiTheme="minorAscii"/>
      <w:lang w:eastAsia="zh-Hans"/>
    </w:rPr>
  </w:style>
  <w:style w:type="paragraph" w:customStyle="1" w:styleId="101">
    <w:name w:val="目录标题"/>
    <w:basedOn w:val="1"/>
    <w:qFormat/>
    <w:uiPriority w:val="0"/>
    <w:pPr>
      <w:spacing w:before="0" w:beforeLines="0" w:afterLines="0" w:line="240" w:lineRule="auto"/>
      <w:ind w:firstLine="0" w:firstLineChars="0"/>
      <w:jc w:val="center"/>
    </w:pPr>
    <w:rPr>
      <w:rFonts w:asciiTheme="minorAscii" w:hAnsiTheme="minorAscii" w:eastAsiaTheme="minorEastAsia"/>
      <w:b/>
      <w:sz w:val="28"/>
      <w:szCs w:val="28"/>
    </w:rPr>
  </w:style>
  <w:style w:type="paragraph" w:customStyle="1" w:styleId="102">
    <w:name w:val="主送对象"/>
    <w:next w:val="7"/>
    <w:qFormat/>
    <w:uiPriority w:val="0"/>
    <w:pPr>
      <w:adjustRightInd w:val="0"/>
      <w:snapToGrid w:val="0"/>
      <w:spacing w:line="576" w:lineRule="exact"/>
    </w:pPr>
    <w:rPr>
      <w:rFonts w:hint="default" w:cs="Times New Roman" w:asciiTheme="minorAscii" w:hAnsiTheme="minorAscii" w:eastAsiaTheme="minorEastAsia"/>
      <w:color w:val="262626" w:themeColor="text1" w:themeTint="D9"/>
      <w:sz w:val="24"/>
      <w:szCs w:val="24"/>
      <w:lang w:val="en-US" w:eastAsia="zh-CN" w:bidi="ar-SA"/>
      <w14:textFill>
        <w14:solidFill>
          <w14:schemeClr w14:val="tx1">
            <w14:lumMod w14:val="85000"/>
            <w14:lumOff w14:val="15000"/>
          </w14:schemeClr>
        </w14:solidFill>
      </w14:textFill>
    </w:rPr>
  </w:style>
  <w:style w:type="paragraph" w:customStyle="1" w:styleId="103">
    <w:name w:val="致谢标题"/>
    <w:qFormat/>
    <w:uiPriority w:val="0"/>
    <w:pPr>
      <w:keepNext/>
      <w:keepLines/>
      <w:adjustRightInd w:val="0"/>
      <w:snapToGrid w:val="0"/>
      <w:spacing w:before="50" w:beforeLines="50" w:line="312" w:lineRule="auto"/>
      <w:jc w:val="center"/>
      <w:outlineLvl w:val="0"/>
    </w:pPr>
    <w:rPr>
      <w:rFonts w:ascii="+西文标题" w:hAnsi="+西文标题" w:eastAsia="+中文标题" w:cs="Times New Roman"/>
      <w:b/>
      <w:bCs/>
      <w:kern w:val="44"/>
      <w:sz w:val="32"/>
      <w:szCs w:val="32"/>
    </w:rPr>
  </w:style>
  <w:style w:type="paragraph" w:customStyle="1" w:styleId="104">
    <w:name w:val="参考文献标题"/>
    <w:qFormat/>
    <w:uiPriority w:val="0"/>
    <w:pPr>
      <w:keepNext/>
      <w:keepLines/>
      <w:spacing w:before="50" w:beforeLines="50" w:after="20" w:afterLines="20" w:line="312" w:lineRule="auto"/>
      <w:jc w:val="center"/>
      <w:outlineLvl w:val="0"/>
    </w:pPr>
    <w:rPr>
      <w:rFonts w:ascii="+西文标题" w:hAnsi="+西文标题" w:eastAsia="+中文标题" w:cs="Times New Roman"/>
      <w:b/>
      <w:bCs/>
      <w:kern w:val="44"/>
      <w:sz w:val="32"/>
      <w:szCs w:val="32"/>
    </w:rPr>
  </w:style>
  <w:style w:type="paragraph" w:customStyle="1" w:styleId="105">
    <w:name w:val="声明标题"/>
    <w:qFormat/>
    <w:uiPriority w:val="0"/>
    <w:pPr>
      <w:keepNext/>
      <w:keepLines/>
      <w:adjustRightInd w:val="0"/>
      <w:snapToGrid w:val="0"/>
      <w:spacing w:before="50" w:beforeLines="50" w:line="312" w:lineRule="auto"/>
      <w:jc w:val="center"/>
      <w:outlineLvl w:val="0"/>
    </w:pPr>
    <w:rPr>
      <w:rFonts w:hint="default" w:cs="Times New Roman" w:asciiTheme="majorAscii" w:hAnsiTheme="majorAscii" w:eastAsiaTheme="majorEastAsia"/>
      <w:b/>
      <w:bCs/>
      <w:kern w:val="44"/>
      <w:sz w:val="32"/>
      <w:szCs w:val="32"/>
    </w:rPr>
  </w:style>
  <w:style w:type="character" w:customStyle="1" w:styleId="106">
    <w:name w:val=" Character Style 2"/>
    <w:unhideWhenUsed/>
    <w:qFormat/>
    <w:uiPriority w:val="99"/>
    <w:rPr>
      <w:rFonts w:hint="default"/>
      <w:sz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8.xml"/><Relationship Id="rId17" Type="http://schemas.openxmlformats.org/officeDocument/2006/relationships/header" Target="header6.xml"/><Relationship Id="rId16" Type="http://schemas.openxmlformats.org/officeDocument/2006/relationships/footer" Target="footer7.xml"/><Relationship Id="rId15" Type="http://schemas.openxmlformats.org/officeDocument/2006/relationships/header" Target="header5.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60</Pages>
  <Words>12682</Words>
  <Characters>13662</Characters>
  <Lines>361</Lines>
  <Paragraphs>101</Paragraphs>
  <TotalTime>221</TotalTime>
  <ScaleCrop>false</ScaleCrop>
  <LinksUpToDate>false</LinksUpToDate>
  <CharactersWithSpaces>13932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2017-10-20T19:15:00Z</dcterms:created>
  <dc:creator>jsb</dc:creator>
  <cp:lastModifiedBy>S莉旋</cp:lastModifiedBy>
  <cp:lastPrinted>2026-03-09T02:12:00Z</cp:lastPrinted>
  <dcterms:modified xsi:type="dcterms:W3CDTF">2026-06-02T03:38:54Z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88081E2810F9462B8177255A049EA826_13</vt:lpwstr>
  </property>
  <property fmtid="{D5CDD505-2E9C-101B-9397-08002B2CF9AE}" pid="4" name="KSOTemplateDocerSaveRecord">
    <vt:lpwstr>eyJoZGlkIjoiNDNlMzU2ZGU4NmI3MDJkNGVjMjg5OTY0Yzc2NTM2MDEiLCJ1c2VySWQiOiIyNTk5ODg4MDkifQ==</vt:lpwstr>
  </property>
</Properties>
</file>