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1C222">
      <w:pPr>
        <w:rPr>
          <w:rFonts w:ascii="宋体" w:hAnsi="宋体" w:cs="宋体"/>
          <w:i w:val="0"/>
          <w:iCs w:val="0"/>
          <w:color w:val="auto"/>
          <w:sz w:val="44"/>
          <w:szCs w:val="44"/>
          <w:highlight w:val="none"/>
        </w:rPr>
      </w:pPr>
      <w:r>
        <w:rPr>
          <w:rFonts w:hint="eastAsia" w:ascii="宋体" w:hAnsi="宋体" w:cs="宋体"/>
          <w:i w:val="0"/>
          <w:iCs w:val="0"/>
          <w:color w:val="auto"/>
          <w:sz w:val="28"/>
          <w:szCs w:val="28"/>
          <w:highlight w:val="none"/>
        </w:rPr>
        <w:t xml:space="preserve">        </w:t>
      </w:r>
      <w:r>
        <w:rPr>
          <w:rFonts w:hint="eastAsia" w:ascii="宋体" w:hAnsi="宋体" w:cs="宋体"/>
          <w:i w:val="0"/>
          <w:iCs w:val="0"/>
          <w:color w:val="auto"/>
          <w:sz w:val="44"/>
          <w:szCs w:val="44"/>
          <w:highlight w:val="none"/>
        </w:rPr>
        <w:t xml:space="preserve">                      </w:t>
      </w:r>
    </w:p>
    <w:p w14:paraId="3D6E38F6">
      <w:pPr>
        <w:pStyle w:val="12"/>
        <w:jc w:val="center"/>
        <w:rPr>
          <w:rFonts w:ascii="宋体" w:hAnsi="宋体" w:cs="宋体"/>
          <w:i w:val="0"/>
          <w:iCs w:val="0"/>
          <w:color w:val="auto"/>
          <w:sz w:val="28"/>
          <w:szCs w:val="28"/>
          <w:highlight w:val="none"/>
        </w:rPr>
      </w:pPr>
      <w:r>
        <w:rPr>
          <w:rFonts w:hint="eastAsia" w:ascii="宋体" w:hAnsi="宋体" w:cs="宋体"/>
          <w:b/>
          <w:bCs/>
          <w:i w:val="0"/>
          <w:iCs w:val="0"/>
          <w:color w:val="auto"/>
          <w:sz w:val="48"/>
          <w:szCs w:val="48"/>
          <w:highlight w:val="none"/>
          <w:lang w:eastAsia="zh-CN"/>
        </w:rPr>
        <w:t>红河州第二人民医院经颅磁刺激仪采购</w:t>
      </w:r>
    </w:p>
    <w:p w14:paraId="23A83512">
      <w:pPr>
        <w:pStyle w:val="12"/>
        <w:rPr>
          <w:rFonts w:ascii="宋体" w:hAnsi="宋体" w:cs="宋体"/>
          <w:b/>
          <w:bCs/>
          <w:i w:val="0"/>
          <w:iCs w:val="0"/>
          <w:color w:val="auto"/>
          <w:sz w:val="28"/>
          <w:szCs w:val="28"/>
          <w:highlight w:val="none"/>
        </w:rPr>
      </w:pPr>
    </w:p>
    <w:p w14:paraId="29C94CFE">
      <w:pPr>
        <w:pStyle w:val="12"/>
        <w:rPr>
          <w:rFonts w:ascii="宋体" w:hAnsi="宋体" w:cs="宋体"/>
          <w:b/>
          <w:bCs/>
          <w:i w:val="0"/>
          <w:iCs w:val="0"/>
          <w:color w:val="auto"/>
          <w:sz w:val="28"/>
          <w:szCs w:val="28"/>
          <w:highlight w:val="none"/>
        </w:rPr>
      </w:pPr>
    </w:p>
    <w:p w14:paraId="4CC2C088">
      <w:pPr>
        <w:rPr>
          <w:rFonts w:ascii="宋体" w:hAnsi="宋体" w:cs="宋体"/>
          <w:b/>
          <w:bCs/>
          <w:i w:val="0"/>
          <w:iCs w:val="0"/>
          <w:color w:val="auto"/>
          <w:sz w:val="28"/>
          <w:szCs w:val="28"/>
          <w:highlight w:val="none"/>
        </w:rPr>
      </w:pPr>
    </w:p>
    <w:p w14:paraId="319F9FD7">
      <w:pPr>
        <w:pStyle w:val="12"/>
      </w:pPr>
    </w:p>
    <w:p w14:paraId="6BF02FE0">
      <w:pPr>
        <w:pStyle w:val="12"/>
        <w:rPr>
          <w:rFonts w:ascii="宋体" w:hAnsi="宋体" w:cs="宋体"/>
          <w:b/>
          <w:bCs/>
          <w:i w:val="0"/>
          <w:iCs w:val="0"/>
          <w:color w:val="auto"/>
          <w:sz w:val="28"/>
          <w:szCs w:val="28"/>
          <w:highlight w:val="none"/>
        </w:rPr>
      </w:pPr>
      <w:r>
        <w:rPr>
          <w:rFonts w:hint="eastAsia" w:ascii="宋体" w:hAnsi="宋体" w:cs="宋体"/>
          <w:b/>
          <w:bCs/>
          <w:i w:val="0"/>
          <w:iCs w:val="0"/>
          <w:color w:val="auto"/>
          <w:sz w:val="28"/>
          <w:szCs w:val="28"/>
          <w:highlight w:val="none"/>
        </w:rPr>
        <w:t xml:space="preserve"> </w:t>
      </w:r>
    </w:p>
    <w:p w14:paraId="3FBDE598">
      <w:pPr>
        <w:jc w:val="center"/>
        <w:rPr>
          <w:rFonts w:ascii="宋体" w:hAnsi="宋体" w:cs="宋体"/>
          <w:i w:val="0"/>
          <w:iCs w:val="0"/>
          <w:color w:val="auto"/>
          <w:sz w:val="28"/>
          <w:szCs w:val="28"/>
          <w:highlight w:val="none"/>
        </w:rPr>
      </w:pPr>
      <w:r>
        <w:rPr>
          <w:rFonts w:hint="eastAsia" w:ascii="宋体" w:hAnsi="宋体" w:cs="宋体"/>
          <w:b/>
          <w:bCs/>
          <w:i w:val="0"/>
          <w:iCs w:val="0"/>
          <w:color w:val="auto"/>
          <w:sz w:val="96"/>
          <w:szCs w:val="96"/>
          <w:highlight w:val="none"/>
          <w:lang w:val="en-US" w:eastAsia="zh-CN"/>
        </w:rPr>
        <w:t xml:space="preserve">招 标 </w:t>
      </w:r>
      <w:r>
        <w:rPr>
          <w:rFonts w:hint="eastAsia" w:ascii="宋体" w:hAnsi="宋体" w:cs="宋体"/>
          <w:b/>
          <w:bCs/>
          <w:i w:val="0"/>
          <w:iCs w:val="0"/>
          <w:color w:val="auto"/>
          <w:sz w:val="96"/>
          <w:szCs w:val="96"/>
          <w:highlight w:val="none"/>
        </w:rPr>
        <w:t>文 件</w:t>
      </w:r>
      <w:r>
        <w:rPr>
          <w:rFonts w:hint="eastAsia" w:ascii="宋体" w:hAnsi="宋体" w:cs="宋体"/>
          <w:i w:val="0"/>
          <w:iCs w:val="0"/>
          <w:color w:val="auto"/>
          <w:sz w:val="28"/>
          <w:szCs w:val="28"/>
          <w:highlight w:val="none"/>
        </w:rPr>
        <w:t xml:space="preserve">  </w:t>
      </w:r>
    </w:p>
    <w:p w14:paraId="0D62CD66">
      <w:pPr>
        <w:pStyle w:val="12"/>
        <w:rPr>
          <w:rFonts w:ascii="宋体" w:hAnsi="宋体" w:cs="宋体"/>
          <w:i w:val="0"/>
          <w:iCs w:val="0"/>
          <w:color w:val="auto"/>
          <w:sz w:val="28"/>
          <w:szCs w:val="28"/>
          <w:highlight w:val="none"/>
        </w:rPr>
      </w:pPr>
    </w:p>
    <w:p w14:paraId="51FA95E1">
      <w:pPr>
        <w:pStyle w:val="12"/>
        <w:rPr>
          <w:rFonts w:ascii="宋体" w:hAnsi="宋体" w:cs="宋体"/>
          <w:i w:val="0"/>
          <w:iCs w:val="0"/>
          <w:color w:val="auto"/>
          <w:sz w:val="28"/>
          <w:szCs w:val="28"/>
          <w:highlight w:val="none"/>
        </w:rPr>
      </w:pPr>
    </w:p>
    <w:p w14:paraId="21A2C4D7">
      <w:pPr>
        <w:rPr>
          <w:rFonts w:ascii="宋体" w:hAnsi="宋体" w:cs="宋体"/>
          <w:i w:val="0"/>
          <w:iCs w:val="0"/>
          <w:color w:val="auto"/>
          <w:sz w:val="28"/>
          <w:szCs w:val="28"/>
          <w:highlight w:val="none"/>
        </w:rPr>
      </w:pPr>
    </w:p>
    <w:p w14:paraId="7A721A31">
      <w:pPr>
        <w:pStyle w:val="12"/>
        <w:rPr>
          <w:rFonts w:ascii="宋体" w:hAnsi="宋体" w:cs="宋体"/>
          <w:i w:val="0"/>
          <w:iCs w:val="0"/>
          <w:color w:val="auto"/>
          <w:sz w:val="28"/>
          <w:szCs w:val="28"/>
          <w:highlight w:val="none"/>
        </w:rPr>
      </w:pPr>
    </w:p>
    <w:p w14:paraId="231A4828">
      <w:pPr>
        <w:rPr>
          <w:rFonts w:ascii="宋体" w:hAnsi="宋体" w:cs="宋体"/>
          <w:i w:val="0"/>
          <w:iCs w:val="0"/>
          <w:color w:val="auto"/>
          <w:sz w:val="28"/>
          <w:szCs w:val="28"/>
          <w:highlight w:val="none"/>
        </w:rPr>
      </w:pPr>
    </w:p>
    <w:p w14:paraId="5EF76035">
      <w:pPr>
        <w:pStyle w:val="12"/>
        <w:rPr>
          <w:rFonts w:ascii="宋体" w:hAnsi="宋体" w:cs="宋体"/>
          <w:i w:val="0"/>
          <w:iCs w:val="0"/>
          <w:color w:val="auto"/>
          <w:sz w:val="28"/>
          <w:szCs w:val="28"/>
          <w:highlight w:val="none"/>
        </w:rPr>
      </w:pPr>
    </w:p>
    <w:p w14:paraId="266A4BEB"/>
    <w:p w14:paraId="687ABC6A"/>
    <w:p w14:paraId="1CCEC5F3">
      <w:pPr>
        <w:pStyle w:val="12"/>
        <w:spacing w:line="900" w:lineRule="exact"/>
        <w:ind w:firstLine="643" w:firstLineChars="200"/>
        <w:jc w:val="center"/>
        <w:rPr>
          <w:rFonts w:hint="eastAsia" w:ascii="宋体" w:hAnsi="宋体" w:eastAsia="宋体" w:cs="宋体"/>
          <w:b/>
          <w:i w:val="0"/>
          <w:iCs w:val="0"/>
          <w:color w:val="auto"/>
          <w:sz w:val="32"/>
          <w:szCs w:val="32"/>
          <w:highlight w:val="none"/>
          <w:u w:val="single"/>
          <w:lang w:eastAsia="zh-CN"/>
        </w:rPr>
      </w:pPr>
      <w:r>
        <w:rPr>
          <w:rFonts w:hint="eastAsia" w:ascii="宋体" w:hAnsi="宋体" w:cs="宋体"/>
          <w:b/>
          <w:i w:val="0"/>
          <w:iCs w:val="0"/>
          <w:color w:val="auto"/>
          <w:sz w:val="32"/>
          <w:szCs w:val="32"/>
          <w:highlight w:val="none"/>
        </w:rPr>
        <w:t>招标人：</w:t>
      </w:r>
      <w:r>
        <w:rPr>
          <w:rFonts w:hint="eastAsia" w:ascii="宋体" w:hAnsi="宋体" w:cs="宋体"/>
          <w:b/>
          <w:i w:val="0"/>
          <w:iCs w:val="0"/>
          <w:color w:val="auto"/>
          <w:sz w:val="32"/>
          <w:szCs w:val="32"/>
          <w:highlight w:val="none"/>
          <w:lang w:eastAsia="zh-CN"/>
        </w:rPr>
        <w:t>红河州第二人民医院</w:t>
      </w:r>
    </w:p>
    <w:p w14:paraId="4D0F892F">
      <w:pPr>
        <w:pStyle w:val="12"/>
        <w:spacing w:line="900" w:lineRule="exact"/>
        <w:ind w:firstLine="643" w:firstLineChars="200"/>
        <w:jc w:val="center"/>
        <w:rPr>
          <w:rFonts w:hint="eastAsia" w:ascii="宋体" w:hAnsi="宋体" w:eastAsia="宋体" w:cs="宋体"/>
          <w:i w:val="0"/>
          <w:iCs w:val="0"/>
          <w:color w:val="auto"/>
          <w:sz w:val="32"/>
          <w:szCs w:val="32"/>
          <w:highlight w:val="none"/>
          <w:u w:val="none"/>
          <w:lang w:eastAsia="zh-CN"/>
        </w:rPr>
      </w:pPr>
      <w:r>
        <w:rPr>
          <w:rFonts w:hint="eastAsia" w:ascii="宋体" w:hAnsi="宋体" w:cs="宋体"/>
          <w:b/>
          <w:i w:val="0"/>
          <w:iCs w:val="0"/>
          <w:color w:val="auto"/>
          <w:sz w:val="32"/>
          <w:szCs w:val="32"/>
          <w:highlight w:val="none"/>
        </w:rPr>
        <w:t>日期</w:t>
      </w:r>
      <w:r>
        <w:rPr>
          <w:rFonts w:hint="eastAsia" w:ascii="宋体" w:hAnsi="宋体" w:cs="宋体"/>
          <w:b/>
          <w:i w:val="0"/>
          <w:iCs w:val="0"/>
          <w:color w:val="auto"/>
          <w:sz w:val="32"/>
          <w:szCs w:val="32"/>
          <w:highlight w:val="none"/>
          <w:u w:val="none"/>
        </w:rPr>
        <w:t>：</w:t>
      </w:r>
      <w:r>
        <w:rPr>
          <w:rFonts w:hint="eastAsia" w:ascii="宋体" w:hAnsi="宋体" w:cs="宋体"/>
          <w:b/>
          <w:i w:val="0"/>
          <w:iCs w:val="0"/>
          <w:color w:val="auto"/>
          <w:sz w:val="32"/>
          <w:szCs w:val="32"/>
          <w:highlight w:val="none"/>
          <w:u w:val="none"/>
          <w:lang w:eastAsia="zh-CN"/>
        </w:rPr>
        <w:t>202</w:t>
      </w:r>
      <w:r>
        <w:rPr>
          <w:rFonts w:hint="eastAsia" w:ascii="宋体" w:hAnsi="宋体" w:cs="宋体"/>
          <w:b/>
          <w:i w:val="0"/>
          <w:iCs w:val="0"/>
          <w:color w:val="auto"/>
          <w:sz w:val="32"/>
          <w:szCs w:val="32"/>
          <w:highlight w:val="none"/>
          <w:u w:val="none"/>
          <w:lang w:val="en-US" w:eastAsia="zh-CN"/>
        </w:rPr>
        <w:t>6</w:t>
      </w:r>
      <w:r>
        <w:rPr>
          <w:rFonts w:hint="eastAsia" w:ascii="宋体" w:hAnsi="宋体" w:cs="宋体"/>
          <w:b/>
          <w:i w:val="0"/>
          <w:iCs w:val="0"/>
          <w:color w:val="auto"/>
          <w:sz w:val="32"/>
          <w:szCs w:val="32"/>
          <w:highlight w:val="none"/>
          <w:u w:val="none"/>
          <w:lang w:eastAsia="zh-CN"/>
        </w:rPr>
        <w:t>年</w:t>
      </w:r>
      <w:r>
        <w:rPr>
          <w:rFonts w:hint="eastAsia" w:ascii="宋体" w:hAnsi="宋体" w:cs="宋体"/>
          <w:b/>
          <w:i w:val="0"/>
          <w:iCs w:val="0"/>
          <w:color w:val="auto"/>
          <w:sz w:val="32"/>
          <w:szCs w:val="32"/>
          <w:highlight w:val="none"/>
          <w:u w:val="none"/>
          <w:lang w:val="en-US" w:eastAsia="zh-CN"/>
        </w:rPr>
        <w:t>8</w:t>
      </w:r>
      <w:r>
        <w:rPr>
          <w:rFonts w:hint="eastAsia" w:ascii="宋体" w:hAnsi="宋体" w:cs="宋体"/>
          <w:b/>
          <w:i w:val="0"/>
          <w:iCs w:val="0"/>
          <w:color w:val="auto"/>
          <w:sz w:val="32"/>
          <w:szCs w:val="32"/>
          <w:highlight w:val="none"/>
          <w:u w:val="none"/>
          <w:lang w:eastAsia="zh-CN"/>
        </w:rPr>
        <w:t>月</w:t>
      </w:r>
    </w:p>
    <w:p w14:paraId="0B77904B">
      <w:pPr>
        <w:jc w:val="center"/>
        <w:rPr>
          <w:rFonts w:ascii="宋体" w:hAnsi="宋体" w:cs="宋体"/>
          <w:b/>
          <w:bCs/>
          <w:i w:val="0"/>
          <w:iCs w:val="0"/>
          <w:color w:val="auto"/>
          <w:sz w:val="44"/>
          <w:szCs w:val="44"/>
          <w:highlight w:val="none"/>
        </w:rPr>
        <w:sectPr>
          <w:footerReference r:id="rId5" w:type="first"/>
          <w:headerReference r:id="rId3" w:type="default"/>
          <w:footerReference r:id="rId4" w:type="default"/>
          <w:type w:val="nextColumn"/>
          <w:pgSz w:w="12191" w:h="15819"/>
          <w:pgMar w:top="2106" w:right="1304" w:bottom="1304" w:left="1304" w:header="20" w:footer="737" w:gutter="0"/>
          <w:pgNumType w:fmt="decimal"/>
          <w:cols w:space="720" w:num="1"/>
          <w:titlePg/>
          <w:docGrid w:linePitch="317" w:charSpace="0"/>
        </w:sectPr>
      </w:pPr>
    </w:p>
    <w:p w14:paraId="73D93400">
      <w:pPr>
        <w:jc w:val="cente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目  录</w:t>
      </w:r>
    </w:p>
    <w:p w14:paraId="06E3A675">
      <w:pPr>
        <w:pStyle w:val="23"/>
        <w:tabs>
          <w:tab w:val="right" w:leader="dot" w:pos="9583"/>
        </w:tabs>
      </w:pPr>
      <w:r>
        <w:rPr>
          <w:rFonts w:hint="eastAsia" w:ascii="宋体" w:hAnsi="宋体" w:cs="宋体"/>
          <w:b w:val="0"/>
          <w:bCs w:val="0"/>
          <w:i w:val="0"/>
          <w:iCs w:val="0"/>
          <w:caps w:val="0"/>
          <w:color w:val="auto"/>
          <w:sz w:val="24"/>
          <w:szCs w:val="24"/>
          <w:highlight w:val="none"/>
        </w:rPr>
        <w:fldChar w:fldCharType="begin"/>
      </w:r>
      <w:r>
        <w:rPr>
          <w:rFonts w:hint="eastAsia" w:ascii="宋体" w:hAnsi="宋体" w:cs="宋体"/>
          <w:b w:val="0"/>
          <w:bCs w:val="0"/>
          <w:i w:val="0"/>
          <w:iCs w:val="0"/>
          <w:caps w:val="0"/>
          <w:color w:val="auto"/>
          <w:sz w:val="24"/>
          <w:szCs w:val="24"/>
          <w:highlight w:val="none"/>
        </w:rPr>
        <w:instrText xml:space="preserve"> TOC \o "1-3" \h \z \u </w:instrText>
      </w:r>
      <w:r>
        <w:rPr>
          <w:rFonts w:hint="eastAsia" w:ascii="宋体" w:hAnsi="宋体" w:cs="宋体"/>
          <w:b w:val="0"/>
          <w:bCs w:val="0"/>
          <w:i w:val="0"/>
          <w:iCs w:val="0"/>
          <w:caps w:val="0"/>
          <w:color w:val="auto"/>
          <w:sz w:val="24"/>
          <w:szCs w:val="24"/>
          <w:highlight w:val="none"/>
        </w:rPr>
        <w:fldChar w:fldCharType="separate"/>
      </w:r>
      <w:r>
        <w:rPr>
          <w:rFonts w:hint="eastAsia" w:ascii="宋体" w:hAnsi="宋体" w:cs="宋体"/>
          <w:bCs w:val="0"/>
          <w:i w:val="0"/>
          <w:iCs w:val="0"/>
          <w:caps w:val="0"/>
          <w:color w:val="auto"/>
          <w:szCs w:val="24"/>
          <w:highlight w:val="none"/>
        </w:rPr>
        <w:fldChar w:fldCharType="begin"/>
      </w:r>
      <w:r>
        <w:rPr>
          <w:rFonts w:hint="eastAsia" w:ascii="宋体" w:hAnsi="宋体" w:cs="宋体"/>
          <w:bCs w:val="0"/>
          <w:i w:val="0"/>
          <w:iCs w:val="0"/>
          <w:caps w:val="0"/>
          <w:szCs w:val="24"/>
          <w:highlight w:val="none"/>
        </w:rPr>
        <w:instrText xml:space="preserve"> HYPERLINK \l _Toc14349 </w:instrText>
      </w:r>
      <w:r>
        <w:rPr>
          <w:rFonts w:hint="eastAsia" w:ascii="宋体" w:hAnsi="宋体" w:cs="宋体"/>
          <w:bCs w:val="0"/>
          <w:i w:val="0"/>
          <w:iCs w:val="0"/>
          <w:caps w:val="0"/>
          <w:szCs w:val="24"/>
          <w:highlight w:val="none"/>
        </w:rPr>
        <w:fldChar w:fldCharType="separate"/>
      </w:r>
      <w:r>
        <w:rPr>
          <w:rFonts w:hint="eastAsia"/>
          <w:szCs w:val="32"/>
        </w:rPr>
        <w:t xml:space="preserve">第一章 </w:t>
      </w:r>
      <w:r>
        <w:rPr>
          <w:rFonts w:hint="eastAsia"/>
          <w:szCs w:val="32"/>
          <w:lang w:eastAsia="zh-CN"/>
        </w:rPr>
        <w:t>招标公告</w:t>
      </w:r>
      <w:r>
        <w:tab/>
      </w:r>
      <w:r>
        <w:fldChar w:fldCharType="begin"/>
      </w:r>
      <w:r>
        <w:instrText xml:space="preserve"> PAGEREF _Toc14349 \h </w:instrText>
      </w:r>
      <w:r>
        <w:fldChar w:fldCharType="separate"/>
      </w:r>
      <w:r>
        <w:t>1</w:t>
      </w:r>
      <w:r>
        <w:fldChar w:fldCharType="end"/>
      </w:r>
      <w:r>
        <w:rPr>
          <w:rFonts w:hint="eastAsia" w:ascii="宋体" w:hAnsi="宋体" w:cs="宋体"/>
          <w:bCs w:val="0"/>
          <w:i w:val="0"/>
          <w:iCs w:val="0"/>
          <w:caps w:val="0"/>
          <w:color w:val="auto"/>
          <w:szCs w:val="24"/>
          <w:highlight w:val="none"/>
        </w:rPr>
        <w:fldChar w:fldCharType="end"/>
      </w:r>
    </w:p>
    <w:p w14:paraId="6DFF35D5">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_Toc5257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第二章 投标人须知</w:t>
      </w:r>
      <w:r>
        <w:tab/>
      </w:r>
      <w:r>
        <w:fldChar w:fldCharType="begin"/>
      </w:r>
      <w:r>
        <w:instrText xml:space="preserve"> PAGEREF _Toc5257 \h </w:instrText>
      </w:r>
      <w:r>
        <w:fldChar w:fldCharType="separate"/>
      </w:r>
      <w:r>
        <w:t>4</w:t>
      </w:r>
      <w:r>
        <w:fldChar w:fldCharType="end"/>
      </w:r>
      <w:r>
        <w:rPr>
          <w:rFonts w:hint="eastAsia" w:ascii="宋体" w:hAnsi="宋体" w:cs="宋体"/>
          <w:bCs/>
          <w:i w:val="0"/>
          <w:iCs w:val="0"/>
          <w:caps/>
          <w:color w:val="auto"/>
          <w:szCs w:val="24"/>
          <w:highlight w:val="none"/>
        </w:rPr>
        <w:fldChar w:fldCharType="end"/>
      </w:r>
    </w:p>
    <w:p w14:paraId="328C2F6E">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_Toc15341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第三章 评标方法（综合评分法）</w:t>
      </w:r>
      <w:r>
        <w:tab/>
      </w:r>
      <w:r>
        <w:fldChar w:fldCharType="begin"/>
      </w:r>
      <w:r>
        <w:instrText xml:space="preserve"> PAGEREF _Toc15341 \h </w:instrText>
      </w:r>
      <w:r>
        <w:fldChar w:fldCharType="separate"/>
      </w:r>
      <w:r>
        <w:t>19</w:t>
      </w:r>
      <w:r>
        <w:fldChar w:fldCharType="end"/>
      </w:r>
      <w:r>
        <w:rPr>
          <w:rFonts w:hint="eastAsia" w:ascii="宋体" w:hAnsi="宋体" w:cs="宋体"/>
          <w:bCs/>
          <w:i w:val="0"/>
          <w:iCs w:val="0"/>
          <w:caps/>
          <w:color w:val="auto"/>
          <w:szCs w:val="24"/>
          <w:highlight w:val="none"/>
        </w:rPr>
        <w:fldChar w:fldCharType="end"/>
      </w:r>
    </w:p>
    <w:p w14:paraId="7476E74C">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_Toc30502 </w:instrText>
      </w:r>
      <w:r>
        <w:rPr>
          <w:rFonts w:hint="eastAsia" w:ascii="宋体" w:hAnsi="宋体" w:cs="宋体"/>
          <w:bCs/>
          <w:i w:val="0"/>
          <w:iCs w:val="0"/>
          <w:caps/>
          <w:szCs w:val="24"/>
          <w:highlight w:val="none"/>
        </w:rPr>
        <w:fldChar w:fldCharType="separate"/>
      </w:r>
      <w:r>
        <w:rPr>
          <w:rFonts w:hint="eastAsia"/>
        </w:rPr>
        <w:t xml:space="preserve">第四章 </w:t>
      </w:r>
      <w:r>
        <w:rPr>
          <w:rFonts w:hint="eastAsia" w:ascii="宋体" w:hAnsi="宋体" w:cs="宋体"/>
          <w:i w:val="0"/>
          <w:iCs w:val="0"/>
          <w:highlight w:val="none"/>
        </w:rPr>
        <w:t>合同条款及格式</w:t>
      </w:r>
      <w:r>
        <w:tab/>
      </w:r>
      <w:r>
        <w:fldChar w:fldCharType="begin"/>
      </w:r>
      <w:r>
        <w:instrText xml:space="preserve"> PAGEREF _Toc30502 \h </w:instrText>
      </w:r>
      <w:r>
        <w:fldChar w:fldCharType="separate"/>
      </w:r>
      <w:r>
        <w:t>28</w:t>
      </w:r>
      <w:r>
        <w:fldChar w:fldCharType="end"/>
      </w:r>
      <w:r>
        <w:rPr>
          <w:rFonts w:hint="eastAsia" w:ascii="宋体" w:hAnsi="宋体" w:cs="宋体"/>
          <w:bCs/>
          <w:i w:val="0"/>
          <w:iCs w:val="0"/>
          <w:caps/>
          <w:color w:val="auto"/>
          <w:szCs w:val="24"/>
          <w:highlight w:val="none"/>
        </w:rPr>
        <w:fldChar w:fldCharType="end"/>
      </w:r>
    </w:p>
    <w:p w14:paraId="5A0508F6">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_Toc14717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 xml:space="preserve">第五章 </w:t>
      </w:r>
      <w:r>
        <w:rPr>
          <w:rFonts w:hint="eastAsia" w:ascii="宋体" w:hAnsi="宋体" w:cs="宋体"/>
          <w:i w:val="0"/>
          <w:iCs w:val="0"/>
          <w:highlight w:val="none"/>
          <w:lang w:eastAsia="zh-CN"/>
        </w:rPr>
        <w:t>采购内容及要求</w:t>
      </w:r>
      <w:r>
        <w:tab/>
      </w:r>
      <w:r>
        <w:fldChar w:fldCharType="begin"/>
      </w:r>
      <w:r>
        <w:instrText xml:space="preserve"> PAGEREF _Toc14717 \h </w:instrText>
      </w:r>
      <w:r>
        <w:fldChar w:fldCharType="separate"/>
      </w:r>
      <w:r>
        <w:t>34</w:t>
      </w:r>
      <w:r>
        <w:fldChar w:fldCharType="end"/>
      </w:r>
      <w:r>
        <w:rPr>
          <w:rFonts w:hint="eastAsia" w:ascii="宋体" w:hAnsi="宋体" w:cs="宋体"/>
          <w:bCs/>
          <w:i w:val="0"/>
          <w:iCs w:val="0"/>
          <w:caps/>
          <w:color w:val="auto"/>
          <w:szCs w:val="24"/>
          <w:highlight w:val="none"/>
        </w:rPr>
        <w:fldChar w:fldCharType="end"/>
      </w:r>
    </w:p>
    <w:p w14:paraId="75DFEAA0">
      <w:pPr>
        <w:pStyle w:val="23"/>
        <w:tabs>
          <w:tab w:val="right" w:leader="dot" w:pos="9583"/>
        </w:tabs>
      </w:pPr>
      <w:r>
        <w:rPr>
          <w:rFonts w:hint="eastAsia" w:ascii="宋体" w:hAnsi="宋体" w:cs="宋体"/>
          <w:bCs/>
          <w:i w:val="0"/>
          <w:iCs w:val="0"/>
          <w:caps/>
          <w:color w:val="auto"/>
          <w:szCs w:val="24"/>
          <w:highlight w:val="none"/>
        </w:rPr>
        <w:fldChar w:fldCharType="begin"/>
      </w:r>
      <w:r>
        <w:rPr>
          <w:rFonts w:hint="eastAsia" w:ascii="宋体" w:hAnsi="宋体" w:cs="宋体"/>
          <w:bCs/>
          <w:i w:val="0"/>
          <w:iCs w:val="0"/>
          <w:caps/>
          <w:szCs w:val="24"/>
          <w:highlight w:val="none"/>
        </w:rPr>
        <w:instrText xml:space="preserve"> HYPERLINK \l _Toc15840 </w:instrText>
      </w:r>
      <w:r>
        <w:rPr>
          <w:rFonts w:hint="eastAsia" w:ascii="宋体" w:hAnsi="宋体" w:cs="宋体"/>
          <w:bCs/>
          <w:i w:val="0"/>
          <w:iCs w:val="0"/>
          <w:caps/>
          <w:szCs w:val="24"/>
          <w:highlight w:val="none"/>
        </w:rPr>
        <w:fldChar w:fldCharType="separate"/>
      </w:r>
      <w:r>
        <w:rPr>
          <w:rFonts w:hint="eastAsia" w:ascii="宋体" w:hAnsi="宋体" w:cs="宋体"/>
          <w:i w:val="0"/>
          <w:iCs w:val="0"/>
          <w:highlight w:val="none"/>
        </w:rPr>
        <w:t>第六章 投标文件格式</w:t>
      </w:r>
      <w:r>
        <w:tab/>
      </w:r>
      <w:r>
        <w:fldChar w:fldCharType="begin"/>
      </w:r>
      <w:r>
        <w:instrText xml:space="preserve"> PAGEREF _Toc15840 \h </w:instrText>
      </w:r>
      <w:r>
        <w:fldChar w:fldCharType="separate"/>
      </w:r>
      <w:r>
        <w:t>37</w:t>
      </w:r>
      <w:r>
        <w:fldChar w:fldCharType="end"/>
      </w:r>
      <w:r>
        <w:rPr>
          <w:rFonts w:hint="eastAsia" w:ascii="宋体" w:hAnsi="宋体" w:cs="宋体"/>
          <w:bCs/>
          <w:i w:val="0"/>
          <w:iCs w:val="0"/>
          <w:caps/>
          <w:color w:val="auto"/>
          <w:szCs w:val="24"/>
          <w:highlight w:val="none"/>
        </w:rPr>
        <w:fldChar w:fldCharType="end"/>
      </w:r>
    </w:p>
    <w:p w14:paraId="01EECF48">
      <w:pPr>
        <w:spacing w:line="300" w:lineRule="exact"/>
        <w:rPr>
          <w:rFonts w:ascii="宋体" w:hAnsi="宋体" w:cs="宋体"/>
          <w:i w:val="0"/>
          <w:iCs w:val="0"/>
          <w:color w:val="auto"/>
          <w:sz w:val="22"/>
          <w:szCs w:val="22"/>
          <w:highlight w:val="none"/>
        </w:rPr>
      </w:pPr>
      <w:r>
        <w:rPr>
          <w:rFonts w:hint="eastAsia" w:ascii="宋体" w:hAnsi="宋体" w:cs="宋体"/>
          <w:bCs/>
          <w:i w:val="0"/>
          <w:iCs w:val="0"/>
          <w:caps/>
          <w:color w:val="auto"/>
          <w:szCs w:val="24"/>
          <w:highlight w:val="none"/>
        </w:rPr>
        <w:fldChar w:fldCharType="end"/>
      </w:r>
      <w:r>
        <w:rPr>
          <w:rFonts w:hint="eastAsia" w:ascii="宋体" w:hAnsi="宋体" w:cs="宋体"/>
          <w:i w:val="0"/>
          <w:iCs w:val="0"/>
          <w:color w:val="auto"/>
          <w:sz w:val="22"/>
          <w:szCs w:val="22"/>
          <w:highlight w:val="none"/>
        </w:rPr>
        <w:t xml:space="preserve"> </w:t>
      </w:r>
    </w:p>
    <w:p w14:paraId="116363B1">
      <w:pPr>
        <w:spacing w:line="400" w:lineRule="exact"/>
        <w:rPr>
          <w:rFonts w:ascii="宋体" w:hAnsi="宋体" w:cs="宋体"/>
          <w:i w:val="0"/>
          <w:iCs w:val="0"/>
          <w:color w:val="auto"/>
          <w:highlight w:val="none"/>
        </w:rPr>
        <w:sectPr>
          <w:headerReference r:id="rId7" w:type="first"/>
          <w:footerReference r:id="rId9" w:type="first"/>
          <w:headerReference r:id="rId6" w:type="default"/>
          <w:footerReference r:id="rId8" w:type="default"/>
          <w:pgSz w:w="12191" w:h="15819"/>
          <w:pgMar w:top="1304" w:right="1304" w:bottom="1304" w:left="1304" w:header="737" w:footer="737" w:gutter="0"/>
          <w:pgNumType w:fmt="decimal"/>
          <w:cols w:space="720" w:num="1"/>
          <w:titlePg/>
          <w:docGrid w:linePitch="317" w:charSpace="0"/>
        </w:sectPr>
      </w:pPr>
      <w:bookmarkStart w:id="0" w:name="_Toc12916"/>
      <w:bookmarkEnd w:id="0"/>
      <w:bookmarkStart w:id="1" w:name="_Toc3039"/>
      <w:bookmarkEnd w:id="1"/>
      <w:bookmarkStart w:id="2" w:name="_Toc24776"/>
      <w:bookmarkStart w:id="3" w:name="_Toc5556"/>
    </w:p>
    <w:p w14:paraId="422FBAC6">
      <w:pPr>
        <w:pStyle w:val="12"/>
        <w:rPr>
          <w:rFonts w:ascii="宋体" w:hAnsi="宋体" w:cs="宋体"/>
          <w:i w:val="0"/>
          <w:iCs w:val="0"/>
          <w:color w:val="auto"/>
          <w:highlight w:val="none"/>
        </w:rPr>
      </w:pPr>
    </w:p>
    <w:bookmarkEnd w:id="2"/>
    <w:bookmarkEnd w:id="3"/>
    <w:p w14:paraId="1FC3F5D0">
      <w:pPr>
        <w:pStyle w:val="2"/>
        <w:numPr>
          <w:ilvl w:val="0"/>
          <w:numId w:val="2"/>
        </w:numPr>
        <w:spacing w:before="0" w:after="0" w:line="360" w:lineRule="auto"/>
        <w:jc w:val="center"/>
        <w:rPr>
          <w:sz w:val="32"/>
          <w:szCs w:val="32"/>
        </w:rPr>
      </w:pPr>
      <w:bookmarkStart w:id="4" w:name="_Toc14349"/>
      <w:r>
        <w:rPr>
          <w:rFonts w:hint="eastAsia"/>
          <w:sz w:val="32"/>
          <w:szCs w:val="32"/>
          <w:lang w:eastAsia="zh-CN"/>
        </w:rPr>
        <w:t>招标公告</w:t>
      </w:r>
      <w:bookmarkEnd w:id="4"/>
    </w:p>
    <w:p w14:paraId="38CD3ED4">
      <w:pPr>
        <w:bidi w:val="0"/>
        <w:rPr>
          <w:rFonts w:hint="eastAsia" w:ascii="宋体" w:hAnsi="宋体" w:eastAsia="宋体" w:cs="宋体"/>
          <w:b/>
          <w:bCs/>
          <w:sz w:val="28"/>
          <w:szCs w:val="28"/>
        </w:rPr>
      </w:pPr>
      <w:bookmarkStart w:id="5" w:name="_Toc29108"/>
      <w:bookmarkEnd w:id="5"/>
      <w:bookmarkStart w:id="6" w:name="_Toc32031"/>
      <w:bookmarkEnd w:id="6"/>
      <w:bookmarkStart w:id="7" w:name="_Toc12997"/>
      <w:bookmarkStart w:id="8" w:name="_Toc16472"/>
      <w:bookmarkStart w:id="9" w:name="_Toc13263"/>
      <w:bookmarkStart w:id="10" w:name="_Toc1859"/>
      <w:r>
        <w:rPr>
          <w:rFonts w:hint="eastAsia" w:ascii="宋体" w:hAnsi="宋体" w:eastAsia="宋体" w:cs="宋体"/>
          <w:b/>
          <w:bCs/>
          <w:sz w:val="28"/>
          <w:szCs w:val="28"/>
        </w:rPr>
        <w:t>1.</w:t>
      </w:r>
      <w:r>
        <w:rPr>
          <w:rFonts w:hint="eastAsia" w:ascii="宋体" w:hAnsi="宋体" w:eastAsia="宋体" w:cs="宋体"/>
          <w:b/>
          <w:bCs/>
          <w:sz w:val="28"/>
          <w:szCs w:val="28"/>
          <w:lang w:eastAsia="zh-CN"/>
        </w:rPr>
        <w:t>招标</w:t>
      </w:r>
      <w:r>
        <w:rPr>
          <w:rFonts w:hint="eastAsia" w:ascii="宋体" w:hAnsi="宋体" w:eastAsia="宋体" w:cs="宋体"/>
          <w:b/>
          <w:bCs/>
          <w:sz w:val="28"/>
          <w:szCs w:val="28"/>
        </w:rPr>
        <w:t>条件</w:t>
      </w:r>
      <w:bookmarkEnd w:id="7"/>
      <w:bookmarkEnd w:id="8"/>
      <w:bookmarkEnd w:id="9"/>
      <w:bookmarkEnd w:id="10"/>
    </w:p>
    <w:p w14:paraId="3FB7FD2E">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根据《国家机关事业单位内部控制规范》、《公立医院内部控制管理办法》等法律法规，红河州第二人民医院</w:t>
      </w:r>
      <w:r>
        <w:rPr>
          <w:rFonts w:hint="eastAsia" w:ascii="宋体" w:hAnsi="宋体" w:cs="宋体"/>
          <w:i w:val="0"/>
          <w:iCs w:val="0"/>
          <w:color w:val="auto"/>
          <w:sz w:val="24"/>
          <w:szCs w:val="24"/>
          <w:highlight w:val="none"/>
        </w:rPr>
        <w:t>对该项目进行公开</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，竭诚欢迎具有完成该项目能力的潜在</w:t>
      </w:r>
      <w:r>
        <w:rPr>
          <w:rFonts w:hint="eastAsia" w:ascii="宋体" w:hAnsi="宋体" w:cs="宋体"/>
          <w:i w:val="0"/>
          <w:iCs w:val="0"/>
          <w:color w:val="auto"/>
          <w:sz w:val="24"/>
          <w:szCs w:val="24"/>
          <w:highlight w:val="none"/>
          <w:lang w:eastAsia="zh-CN"/>
        </w:rPr>
        <w:t>供应商</w:t>
      </w:r>
      <w:r>
        <w:rPr>
          <w:rFonts w:hint="eastAsia" w:ascii="宋体" w:hAnsi="宋体" w:cs="宋体"/>
          <w:i w:val="0"/>
          <w:iCs w:val="0"/>
          <w:color w:val="auto"/>
          <w:sz w:val="24"/>
          <w:szCs w:val="24"/>
          <w:highlight w:val="none"/>
        </w:rPr>
        <w:t>参加</w:t>
      </w:r>
      <w:r>
        <w:rPr>
          <w:rFonts w:hint="eastAsia" w:ascii="宋体" w:hAnsi="宋体" w:cs="宋体"/>
          <w:i w:val="0"/>
          <w:iCs w:val="0"/>
          <w:color w:val="auto"/>
          <w:sz w:val="24"/>
          <w:szCs w:val="24"/>
          <w:highlight w:val="none"/>
          <w:lang w:eastAsia="zh-CN"/>
        </w:rPr>
        <w:t>竞标</w:t>
      </w:r>
      <w:r>
        <w:rPr>
          <w:rFonts w:hint="eastAsia" w:ascii="宋体" w:hAnsi="宋体" w:cs="宋体"/>
          <w:i w:val="0"/>
          <w:iCs w:val="0"/>
          <w:color w:val="auto"/>
          <w:sz w:val="24"/>
          <w:szCs w:val="24"/>
          <w:highlight w:val="none"/>
        </w:rPr>
        <w:t>。</w:t>
      </w:r>
    </w:p>
    <w:p w14:paraId="0B4D30B1">
      <w:pPr>
        <w:bidi w:val="0"/>
        <w:rPr>
          <w:rFonts w:hint="eastAsia" w:ascii="宋体" w:hAnsi="宋体" w:eastAsia="宋体" w:cs="宋体"/>
          <w:b/>
          <w:bCs/>
          <w:sz w:val="28"/>
          <w:szCs w:val="28"/>
        </w:rPr>
      </w:pPr>
      <w:bookmarkStart w:id="11" w:name="_Toc31983"/>
      <w:bookmarkStart w:id="12" w:name="_Toc31359"/>
      <w:bookmarkStart w:id="13" w:name="_Toc28119"/>
      <w:r>
        <w:rPr>
          <w:rFonts w:hint="eastAsia" w:ascii="宋体" w:hAnsi="宋体" w:eastAsia="宋体" w:cs="宋体"/>
          <w:b/>
          <w:bCs/>
          <w:sz w:val="28"/>
          <w:szCs w:val="28"/>
        </w:rPr>
        <w:t>2.</w:t>
      </w:r>
      <w:bookmarkEnd w:id="11"/>
      <w:r>
        <w:rPr>
          <w:rFonts w:hint="eastAsia" w:ascii="宋体" w:hAnsi="宋体" w:eastAsia="宋体" w:cs="宋体"/>
          <w:b/>
          <w:bCs/>
          <w:sz w:val="28"/>
          <w:szCs w:val="28"/>
        </w:rPr>
        <w:t>项目概况</w:t>
      </w:r>
      <w:bookmarkEnd w:id="12"/>
      <w:bookmarkEnd w:id="13"/>
    </w:p>
    <w:p w14:paraId="05AA70C3">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2.1项目名称：</w:t>
      </w:r>
      <w:r>
        <w:rPr>
          <w:rFonts w:hint="eastAsia" w:ascii="宋体" w:hAnsi="宋体" w:cs="宋体"/>
          <w:i w:val="0"/>
          <w:iCs w:val="0"/>
          <w:color w:val="auto"/>
          <w:sz w:val="24"/>
          <w:highlight w:val="none"/>
          <w:lang w:eastAsia="zh-CN"/>
        </w:rPr>
        <w:t>红河州第二人民医院经颅磁刺激仪采购</w:t>
      </w:r>
    </w:p>
    <w:p w14:paraId="546CC60A">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2.2项目预算金额</w:t>
      </w:r>
      <w:r>
        <w:rPr>
          <w:rFonts w:hint="eastAsia" w:ascii="宋体" w:hAnsi="宋体" w:cs="宋体"/>
          <w:i w:val="0"/>
          <w:iCs w:val="0"/>
          <w:color w:val="000000" w:themeColor="text1"/>
          <w:sz w:val="24"/>
          <w:highlight w:val="none"/>
          <w:lang w:val="en-US" w:eastAsia="zh-CN"/>
          <w14:textFill>
            <w14:solidFill>
              <w14:schemeClr w14:val="tx1"/>
            </w14:solidFill>
          </w14:textFill>
        </w:rPr>
        <w:t>(最高限价)</w:t>
      </w:r>
      <w:r>
        <w:rPr>
          <w:rFonts w:hint="eastAsia" w:ascii="宋体" w:hAnsi="宋体" w:cs="宋体"/>
          <w:i w:val="0"/>
          <w:iCs w:val="0"/>
          <w:color w:val="000000" w:themeColor="text1"/>
          <w:sz w:val="24"/>
          <w:highlight w:val="none"/>
          <w14:textFill>
            <w14:solidFill>
              <w14:schemeClr w14:val="tx1"/>
            </w14:solidFill>
          </w14:textFill>
        </w:rPr>
        <w:t>：</w:t>
      </w:r>
      <w:r>
        <w:rPr>
          <w:rFonts w:hint="eastAsia" w:ascii="宋体" w:hAnsi="宋体" w:cs="宋体"/>
          <w:i w:val="0"/>
          <w:iCs w:val="0"/>
          <w:color w:val="000000" w:themeColor="text1"/>
          <w:sz w:val="24"/>
          <w:highlight w:val="none"/>
          <w:lang w:val="en-US" w:eastAsia="zh-CN"/>
          <w14:textFill>
            <w14:solidFill>
              <w14:schemeClr w14:val="tx1"/>
            </w14:solidFill>
          </w14:textFill>
        </w:rPr>
        <w:t>45</w:t>
      </w:r>
      <w:r>
        <w:rPr>
          <w:rFonts w:hint="eastAsia" w:ascii="宋体" w:hAnsi="宋体" w:cs="宋体"/>
          <w:i w:val="0"/>
          <w:iCs w:val="0"/>
          <w:color w:val="000000" w:themeColor="text1"/>
          <w:sz w:val="24"/>
          <w:highlight w:val="none"/>
          <w:lang w:eastAsia="zh-CN"/>
          <w14:textFill>
            <w14:solidFill>
              <w14:schemeClr w14:val="tx1"/>
            </w14:solidFill>
          </w14:textFill>
        </w:rPr>
        <w:t>万元。</w:t>
      </w:r>
    </w:p>
    <w:p w14:paraId="27115F1A">
      <w:pPr>
        <w:pStyle w:val="12"/>
        <w:ind w:firstLine="480" w:firstLineChars="200"/>
        <w:rPr>
          <w:rFonts w:hint="eastAsia" w:ascii="宋体" w:hAnsi="宋体" w:eastAsia="宋体" w:cs="宋体"/>
          <w:i w:val="0"/>
          <w:iCs w:val="0"/>
          <w:color w:val="auto"/>
          <w:sz w:val="24"/>
          <w:highlight w:val="none"/>
          <w:lang w:eastAsia="zh-CN"/>
        </w:rPr>
      </w:pPr>
      <w:bookmarkStart w:id="14" w:name="_Toc14391"/>
      <w:bookmarkEnd w:id="14"/>
      <w:bookmarkStart w:id="15" w:name="_Toc16942"/>
      <w:bookmarkEnd w:id="15"/>
      <w:bookmarkStart w:id="16" w:name="_Toc17585"/>
      <w:bookmarkStart w:id="17" w:name="_Toc11923"/>
      <w:r>
        <w:rPr>
          <w:rFonts w:hint="eastAsia" w:ascii="宋体" w:hAnsi="宋体" w:cs="宋体"/>
          <w:i w:val="0"/>
          <w:iCs w:val="0"/>
          <w:color w:val="auto"/>
          <w:sz w:val="24"/>
          <w:highlight w:val="none"/>
        </w:rPr>
        <w:t>2.3</w:t>
      </w:r>
      <w:r>
        <w:rPr>
          <w:rFonts w:hint="eastAsia" w:ascii="宋体" w:hAnsi="宋体" w:cs="宋体"/>
          <w:i w:val="0"/>
          <w:iCs w:val="0"/>
          <w:color w:val="auto"/>
          <w:sz w:val="24"/>
          <w:highlight w:val="none"/>
          <w:lang w:val="en-US" w:eastAsia="zh-CN"/>
        </w:rPr>
        <w:t>交货地点</w:t>
      </w:r>
      <w:r>
        <w:rPr>
          <w:rFonts w:hint="eastAsia" w:ascii="宋体" w:hAnsi="宋体" w:cs="宋体"/>
          <w:i w:val="0"/>
          <w:iCs w:val="0"/>
          <w:color w:val="auto"/>
          <w:sz w:val="24"/>
          <w:highlight w:val="none"/>
        </w:rPr>
        <w:t>：</w:t>
      </w: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p w14:paraId="05DF43AC">
      <w:pPr>
        <w:pStyle w:val="12"/>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2.4标段划分：</w:t>
      </w:r>
      <w:r>
        <w:rPr>
          <w:rFonts w:hint="eastAsia" w:ascii="宋体" w:hAnsi="宋体" w:cs="宋体"/>
          <w:i w:val="0"/>
          <w:iCs w:val="0"/>
          <w:color w:val="auto"/>
          <w:sz w:val="24"/>
          <w:highlight w:val="none"/>
          <w:lang w:val="en-US" w:eastAsia="zh-CN"/>
        </w:rPr>
        <w:t>采购经颅磁刺激仪1台,</w:t>
      </w:r>
      <w:r>
        <w:rPr>
          <w:rFonts w:hint="eastAsia" w:ascii="宋体" w:hAnsi="宋体" w:cs="宋体"/>
          <w:i w:val="0"/>
          <w:iCs w:val="0"/>
          <w:color w:val="auto"/>
          <w:sz w:val="24"/>
          <w:highlight w:val="none"/>
        </w:rPr>
        <w:t>具体需求范围见</w:t>
      </w:r>
      <w:r>
        <w:rPr>
          <w:rFonts w:hint="eastAsia" w:ascii="宋体" w:hAnsi="宋体" w:cs="宋体"/>
          <w:i w:val="0"/>
          <w:iCs w:val="0"/>
          <w:color w:val="auto"/>
          <w:sz w:val="24"/>
          <w:highlight w:val="none"/>
          <w:lang w:val="en-US" w:eastAsia="zh-CN"/>
        </w:rPr>
        <w:t>第五章</w:t>
      </w:r>
      <w:r>
        <w:rPr>
          <w:rFonts w:hint="eastAsia" w:ascii="宋体" w:hAnsi="宋体" w:cs="宋体"/>
          <w:i w:val="0"/>
          <w:iCs w:val="0"/>
          <w:color w:val="auto"/>
          <w:sz w:val="24"/>
          <w:highlight w:val="none"/>
          <w:lang w:eastAsia="zh-CN"/>
        </w:rPr>
        <w:t>“</w:t>
      </w:r>
      <w:r>
        <w:rPr>
          <w:rFonts w:hint="eastAsia" w:ascii="宋体" w:hAnsi="宋体" w:cs="宋体"/>
          <w:i w:val="0"/>
          <w:iCs w:val="0"/>
          <w:color w:val="auto"/>
          <w:sz w:val="24"/>
          <w:highlight w:val="none"/>
          <w:lang w:val="en-US" w:eastAsia="zh-CN"/>
        </w:rPr>
        <w:t>采购内容及要求</w:t>
      </w:r>
      <w:r>
        <w:rPr>
          <w:rFonts w:hint="eastAsia" w:ascii="宋体" w:hAnsi="宋体" w:cs="宋体"/>
          <w:i w:val="0"/>
          <w:iCs w:val="0"/>
          <w:color w:val="auto"/>
          <w:sz w:val="24"/>
          <w:highlight w:val="none"/>
          <w:lang w:eastAsia="zh-CN"/>
        </w:rPr>
        <w:t>”</w:t>
      </w:r>
      <w:r>
        <w:rPr>
          <w:rFonts w:hint="eastAsia" w:ascii="宋体" w:hAnsi="宋体" w:cs="宋体"/>
          <w:i w:val="0"/>
          <w:iCs w:val="0"/>
          <w:color w:val="auto"/>
          <w:sz w:val="24"/>
          <w:highlight w:val="none"/>
        </w:rPr>
        <w:t>。</w:t>
      </w:r>
    </w:p>
    <w:tbl>
      <w:tblPr>
        <w:tblStyle w:val="34"/>
        <w:tblW w:w="507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0"/>
        <w:gridCol w:w="1070"/>
        <w:gridCol w:w="1086"/>
        <w:gridCol w:w="2937"/>
        <w:gridCol w:w="935"/>
        <w:gridCol w:w="802"/>
        <w:gridCol w:w="1530"/>
        <w:gridCol w:w="998"/>
      </w:tblGrid>
      <w:tr w14:paraId="2CC88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7" w:hRule="atLeast"/>
        </w:trPr>
        <w:tc>
          <w:tcPr>
            <w:tcW w:w="320" w:type="pct"/>
            <w:tcBorders>
              <w:top w:val="single" w:color="000000" w:sz="8" w:space="0"/>
              <w:left w:val="single" w:color="000000" w:sz="8" w:space="0"/>
              <w:bottom w:val="single" w:color="000000" w:sz="8" w:space="0"/>
              <w:right w:val="single" w:color="000000" w:sz="8" w:space="0"/>
            </w:tcBorders>
            <w:shd w:val="clear" w:color="auto" w:fill="FFFFFF"/>
            <w:vAlign w:val="center"/>
          </w:tcPr>
          <w:p w14:paraId="0878188B">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535" w:type="pct"/>
            <w:tcBorders>
              <w:top w:val="single" w:color="000000" w:sz="8" w:space="0"/>
              <w:left w:val="nil"/>
              <w:bottom w:val="single" w:color="000000" w:sz="8" w:space="0"/>
              <w:right w:val="single" w:color="000000" w:sz="8" w:space="0"/>
            </w:tcBorders>
            <w:shd w:val="clear" w:color="auto" w:fill="FFFFFF"/>
            <w:vAlign w:val="center"/>
          </w:tcPr>
          <w:p w14:paraId="2F34BEA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标段代码</w:t>
            </w:r>
          </w:p>
        </w:tc>
        <w:tc>
          <w:tcPr>
            <w:tcW w:w="543" w:type="pct"/>
            <w:tcBorders>
              <w:top w:val="single" w:color="000000" w:sz="8" w:space="0"/>
              <w:left w:val="nil"/>
              <w:bottom w:val="single" w:color="000000" w:sz="8" w:space="0"/>
              <w:right w:val="single" w:color="000000" w:sz="8" w:space="0"/>
            </w:tcBorders>
            <w:shd w:val="clear" w:color="auto" w:fill="FFFFFF"/>
            <w:vAlign w:val="center"/>
          </w:tcPr>
          <w:p w14:paraId="1A0AD39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是否允许进口</w:t>
            </w:r>
          </w:p>
        </w:tc>
        <w:tc>
          <w:tcPr>
            <w:tcW w:w="1468" w:type="pct"/>
            <w:tcBorders>
              <w:top w:val="single" w:color="000000" w:sz="8" w:space="0"/>
              <w:left w:val="nil"/>
              <w:bottom w:val="single" w:color="000000" w:sz="8" w:space="0"/>
              <w:right w:val="single" w:color="000000" w:sz="8" w:space="0"/>
            </w:tcBorders>
            <w:shd w:val="clear" w:color="auto" w:fill="FFFFFF"/>
            <w:vAlign w:val="center"/>
          </w:tcPr>
          <w:p w14:paraId="0813AC7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产品（项目）名称</w:t>
            </w:r>
          </w:p>
        </w:tc>
        <w:tc>
          <w:tcPr>
            <w:tcW w:w="467" w:type="pct"/>
            <w:tcBorders>
              <w:top w:val="single" w:color="000000" w:sz="8" w:space="0"/>
              <w:left w:val="nil"/>
              <w:bottom w:val="single" w:color="000000" w:sz="8" w:space="0"/>
              <w:right w:val="single" w:color="000000" w:sz="8" w:space="0"/>
            </w:tcBorders>
            <w:shd w:val="clear" w:color="auto" w:fill="FFFFFF"/>
            <w:vAlign w:val="center"/>
          </w:tcPr>
          <w:p w14:paraId="5474F27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01" w:type="pct"/>
            <w:tcBorders>
              <w:top w:val="single" w:color="000000" w:sz="8" w:space="0"/>
              <w:left w:val="nil"/>
              <w:bottom w:val="single" w:color="000000" w:sz="8" w:space="0"/>
              <w:right w:val="single" w:color="000000" w:sz="8" w:space="0"/>
            </w:tcBorders>
            <w:shd w:val="clear" w:color="auto" w:fill="FFFFFF"/>
            <w:vAlign w:val="center"/>
          </w:tcPr>
          <w:p w14:paraId="702D745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计量单位</w:t>
            </w:r>
          </w:p>
        </w:tc>
        <w:tc>
          <w:tcPr>
            <w:tcW w:w="765" w:type="pct"/>
            <w:tcBorders>
              <w:top w:val="single" w:color="000000" w:sz="8" w:space="0"/>
              <w:left w:val="nil"/>
              <w:bottom w:val="nil"/>
              <w:right w:val="single" w:color="000000" w:sz="8" w:space="0"/>
            </w:tcBorders>
            <w:shd w:val="clear" w:color="auto" w:fill="FFFFFF"/>
            <w:vAlign w:val="center"/>
          </w:tcPr>
          <w:p w14:paraId="15D4176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预算单价(元)</w:t>
            </w:r>
          </w:p>
        </w:tc>
        <w:tc>
          <w:tcPr>
            <w:tcW w:w="499" w:type="pct"/>
            <w:tcBorders>
              <w:top w:val="single" w:color="000000" w:sz="8" w:space="0"/>
              <w:left w:val="nil"/>
              <w:bottom w:val="nil"/>
              <w:right w:val="single" w:color="000000" w:sz="8" w:space="0"/>
            </w:tcBorders>
            <w:shd w:val="clear" w:color="auto" w:fill="FFFFFF"/>
            <w:vAlign w:val="center"/>
          </w:tcPr>
          <w:p w14:paraId="183CF608">
            <w:pPr>
              <w:keepNext w:val="0"/>
              <w:keepLines w:val="0"/>
              <w:widowControl/>
              <w:suppressLineNumbers w:val="0"/>
              <w:tabs>
                <w:tab w:val="left" w:pos="313"/>
              </w:tabs>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质保期</w:t>
            </w:r>
          </w:p>
        </w:tc>
      </w:tr>
      <w:tr w14:paraId="6B4F1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320" w:type="pct"/>
            <w:tcBorders>
              <w:top w:val="nil"/>
              <w:left w:val="single" w:color="000000" w:sz="8" w:space="0"/>
              <w:bottom w:val="single" w:color="000000" w:sz="8" w:space="0"/>
              <w:right w:val="single" w:color="000000" w:sz="8" w:space="0"/>
            </w:tcBorders>
            <w:shd w:val="clear" w:color="auto" w:fill="FFFFFF"/>
            <w:vAlign w:val="center"/>
          </w:tcPr>
          <w:p w14:paraId="36EC44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1</w:t>
            </w:r>
          </w:p>
        </w:tc>
        <w:tc>
          <w:tcPr>
            <w:tcW w:w="535" w:type="pct"/>
            <w:tcBorders>
              <w:top w:val="nil"/>
              <w:left w:val="nil"/>
              <w:bottom w:val="single" w:color="000000" w:sz="8" w:space="0"/>
              <w:right w:val="single" w:color="000000" w:sz="8" w:space="0"/>
            </w:tcBorders>
            <w:shd w:val="clear" w:color="auto" w:fill="FFFFFF"/>
            <w:vAlign w:val="center"/>
          </w:tcPr>
          <w:p w14:paraId="1FA848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1</w:t>
            </w:r>
          </w:p>
        </w:tc>
        <w:tc>
          <w:tcPr>
            <w:tcW w:w="543" w:type="pct"/>
            <w:tcBorders>
              <w:top w:val="nil"/>
              <w:left w:val="nil"/>
              <w:bottom w:val="single" w:color="000000" w:sz="8" w:space="0"/>
              <w:right w:val="single" w:color="000000" w:sz="8" w:space="0"/>
            </w:tcBorders>
            <w:shd w:val="clear" w:color="auto" w:fill="FFFFFF"/>
            <w:vAlign w:val="center"/>
          </w:tcPr>
          <w:p w14:paraId="5C4B95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否</w:t>
            </w:r>
          </w:p>
        </w:tc>
        <w:tc>
          <w:tcPr>
            <w:tcW w:w="1468" w:type="pct"/>
            <w:tcBorders>
              <w:top w:val="nil"/>
              <w:left w:val="nil"/>
              <w:bottom w:val="single" w:color="000000" w:sz="8" w:space="0"/>
              <w:right w:val="single" w:color="000000" w:sz="8" w:space="0"/>
            </w:tcBorders>
            <w:shd w:val="clear" w:color="auto" w:fill="FFFFFF"/>
            <w:vAlign w:val="center"/>
          </w:tcPr>
          <w:p w14:paraId="1A7B19E1">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auto"/>
                <w:sz w:val="24"/>
                <w:highlight w:val="none"/>
                <w:lang w:eastAsia="zh-CN"/>
              </w:rPr>
              <w:t>经颅磁刺激仪</w:t>
            </w:r>
          </w:p>
        </w:tc>
        <w:tc>
          <w:tcPr>
            <w:tcW w:w="467" w:type="pct"/>
            <w:tcBorders>
              <w:top w:val="nil"/>
              <w:left w:val="nil"/>
              <w:bottom w:val="single" w:color="000000" w:sz="8" w:space="0"/>
              <w:right w:val="single" w:color="000000" w:sz="8" w:space="0"/>
            </w:tcBorders>
            <w:shd w:val="clear" w:color="auto" w:fill="FFFFFF"/>
            <w:vAlign w:val="center"/>
          </w:tcPr>
          <w:p w14:paraId="4DF63A7A">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w:t>
            </w:r>
          </w:p>
        </w:tc>
        <w:tc>
          <w:tcPr>
            <w:tcW w:w="401" w:type="pct"/>
            <w:tcBorders>
              <w:top w:val="nil"/>
              <w:left w:val="nil"/>
              <w:bottom w:val="single" w:color="000000" w:sz="8" w:space="0"/>
              <w:right w:val="single" w:color="000000" w:sz="8" w:space="0"/>
            </w:tcBorders>
            <w:shd w:val="clear" w:color="auto" w:fill="FFFFFF"/>
            <w:vAlign w:val="center"/>
          </w:tcPr>
          <w:p w14:paraId="2818EEB8">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台</w:t>
            </w:r>
          </w:p>
        </w:tc>
        <w:tc>
          <w:tcPr>
            <w:tcW w:w="765" w:type="pct"/>
            <w:tcBorders>
              <w:top w:val="single" w:color="000000" w:sz="8" w:space="0"/>
              <w:left w:val="nil"/>
              <w:bottom w:val="single" w:color="000000" w:sz="8" w:space="0"/>
              <w:right w:val="single" w:color="000000" w:sz="8" w:space="0"/>
            </w:tcBorders>
            <w:shd w:val="clear" w:color="auto" w:fill="FFFFFF"/>
            <w:vAlign w:val="center"/>
          </w:tcPr>
          <w:p w14:paraId="57D547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45</w:t>
            </w:r>
            <w:r>
              <w:rPr>
                <w:rFonts w:hint="eastAsia" w:ascii="宋体" w:hAnsi="宋体" w:eastAsia="宋体" w:cs="宋体"/>
                <w:i w:val="0"/>
                <w:iCs w:val="0"/>
                <w:color w:val="000000"/>
                <w:sz w:val="24"/>
                <w:szCs w:val="24"/>
                <w:u w:val="none"/>
                <w:lang w:val="en-US" w:eastAsia="zh-CN"/>
              </w:rPr>
              <w:t>0,000.00</w:t>
            </w:r>
          </w:p>
        </w:tc>
        <w:tc>
          <w:tcPr>
            <w:tcW w:w="499" w:type="pct"/>
            <w:tcBorders>
              <w:top w:val="single" w:color="000000" w:sz="8" w:space="0"/>
              <w:left w:val="nil"/>
              <w:bottom w:val="single" w:color="000000" w:sz="8" w:space="0"/>
              <w:right w:val="single" w:color="000000" w:sz="8" w:space="0"/>
            </w:tcBorders>
            <w:shd w:val="clear" w:color="auto" w:fill="FFFFFF"/>
            <w:vAlign w:val="center"/>
          </w:tcPr>
          <w:p w14:paraId="518A7B79">
            <w:pPr>
              <w:keepNext w:val="0"/>
              <w:keepLines w:val="0"/>
              <w:widowControl/>
              <w:suppressLineNumbers w:val="0"/>
              <w:jc w:val="center"/>
              <w:textAlignment w:val="center"/>
              <w:rPr>
                <w:rFonts w:hint="default" w:ascii="宋体" w:hAnsi="宋体" w:cs="宋体"/>
                <w:i w:val="0"/>
                <w:iCs w:val="0"/>
                <w:color w:val="000000"/>
                <w:sz w:val="24"/>
                <w:szCs w:val="24"/>
                <w:u w:val="none"/>
                <w:lang w:val="en-US" w:eastAsia="zh-CN"/>
              </w:rPr>
            </w:pPr>
            <w:r>
              <w:rPr>
                <w:rFonts w:hint="default" w:ascii="Arial" w:hAnsi="Arial" w:cs="Arial"/>
                <w:i w:val="0"/>
                <w:iCs w:val="0"/>
                <w:color w:val="000000"/>
                <w:sz w:val="24"/>
                <w:szCs w:val="24"/>
                <w:u w:val="none"/>
                <w:lang w:val="en-US" w:eastAsia="zh-CN"/>
              </w:rPr>
              <w:t>≥</w:t>
            </w:r>
            <w:r>
              <w:rPr>
                <w:rFonts w:hint="eastAsia" w:ascii="宋体" w:hAnsi="宋体" w:cs="宋体"/>
                <w:i w:val="0"/>
                <w:iCs w:val="0"/>
                <w:color w:val="000000"/>
                <w:sz w:val="24"/>
                <w:szCs w:val="24"/>
                <w:u w:val="none"/>
                <w:lang w:val="en-US" w:eastAsia="zh-CN"/>
              </w:rPr>
              <w:t>3年</w:t>
            </w:r>
          </w:p>
        </w:tc>
      </w:tr>
    </w:tbl>
    <w:p w14:paraId="076273DC">
      <w:pPr>
        <w:spacing w:line="360" w:lineRule="auto"/>
        <w:ind w:firstLine="500"/>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2.6</w:t>
      </w:r>
      <w:r>
        <w:rPr>
          <w:rFonts w:hint="eastAsia" w:ascii="宋体" w:hAnsi="宋体" w:cs="宋体"/>
          <w:i w:val="0"/>
          <w:iCs w:val="0"/>
          <w:color w:val="auto"/>
          <w:sz w:val="24"/>
          <w:highlight w:val="none"/>
          <w:lang w:eastAsia="zh-CN"/>
        </w:rPr>
        <w:t>交货期</w:t>
      </w:r>
      <w:r>
        <w:rPr>
          <w:rFonts w:hint="eastAsia" w:ascii="宋体" w:hAnsi="宋体" w:cs="宋体"/>
          <w:i w:val="0"/>
          <w:iCs w:val="0"/>
          <w:color w:val="auto"/>
          <w:sz w:val="24"/>
          <w:highlight w:val="none"/>
        </w:rPr>
        <w:t>：</w:t>
      </w:r>
      <w:r>
        <w:rPr>
          <w:rFonts w:hint="eastAsia" w:ascii="宋体" w:hAnsi="宋体" w:cs="宋体"/>
          <w:i w:val="0"/>
          <w:iCs w:val="0"/>
          <w:color w:val="auto"/>
          <w:sz w:val="24"/>
          <w:szCs w:val="24"/>
          <w:highlight w:val="none"/>
          <w:lang w:eastAsia="zh-CN"/>
        </w:rPr>
        <w:t>30日历天</w:t>
      </w:r>
      <w:r>
        <w:rPr>
          <w:rFonts w:hint="eastAsia" w:ascii="宋体" w:hAnsi="宋体" w:cs="宋体"/>
          <w:i w:val="0"/>
          <w:iCs w:val="0"/>
          <w:color w:val="auto"/>
          <w:sz w:val="24"/>
          <w:szCs w:val="24"/>
          <w:highlight w:val="none"/>
        </w:rPr>
        <w:t>。</w:t>
      </w:r>
    </w:p>
    <w:p w14:paraId="0D422559">
      <w:pPr>
        <w:pStyle w:val="12"/>
        <w:ind w:firstLine="480" w:firstLineChars="200"/>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2.7资格审查方式：资格后审。</w:t>
      </w:r>
    </w:p>
    <w:bookmarkEnd w:id="16"/>
    <w:bookmarkEnd w:id="17"/>
    <w:p w14:paraId="2B516328">
      <w:pPr>
        <w:bidi w:val="0"/>
        <w:rPr>
          <w:rFonts w:hint="eastAsia" w:ascii="宋体" w:hAnsi="宋体" w:eastAsia="宋体" w:cs="宋体"/>
          <w:b/>
          <w:bCs/>
          <w:sz w:val="28"/>
          <w:szCs w:val="28"/>
        </w:rPr>
      </w:pPr>
      <w:bookmarkStart w:id="18" w:name="_Toc24772"/>
      <w:bookmarkStart w:id="19" w:name="_Toc19613"/>
      <w:bookmarkStart w:id="20" w:name="_Toc6728"/>
      <w:bookmarkStart w:id="21" w:name="_Toc1744"/>
      <w:r>
        <w:rPr>
          <w:rFonts w:hint="eastAsia" w:ascii="宋体" w:hAnsi="宋体" w:eastAsia="宋体" w:cs="宋体"/>
          <w:b/>
          <w:bCs/>
          <w:sz w:val="28"/>
          <w:szCs w:val="28"/>
        </w:rPr>
        <w:t>3.投标人资格</w:t>
      </w:r>
      <w:bookmarkEnd w:id="18"/>
      <w:bookmarkEnd w:id="19"/>
      <w:r>
        <w:rPr>
          <w:rFonts w:hint="eastAsia" w:ascii="宋体" w:hAnsi="宋体" w:eastAsia="宋体" w:cs="宋体"/>
          <w:b/>
          <w:bCs/>
          <w:sz w:val="28"/>
          <w:szCs w:val="28"/>
        </w:rPr>
        <w:t>要求</w:t>
      </w:r>
      <w:bookmarkEnd w:id="20"/>
      <w:bookmarkEnd w:id="21"/>
    </w:p>
    <w:p w14:paraId="10314192">
      <w:pPr>
        <w:pStyle w:val="12"/>
        <w:ind w:firstLine="480" w:firstLineChars="200"/>
        <w:rPr>
          <w:rFonts w:ascii="宋体" w:hAnsi="宋体" w:cs="宋体"/>
          <w:i w:val="0"/>
          <w:iCs w:val="0"/>
          <w:color w:val="auto"/>
          <w:sz w:val="24"/>
          <w:highlight w:val="none"/>
        </w:rPr>
      </w:pPr>
      <w:bookmarkStart w:id="22" w:name="_Toc30966"/>
      <w:bookmarkEnd w:id="22"/>
      <w:bookmarkStart w:id="23" w:name="_Toc14041"/>
      <w:bookmarkEnd w:id="23"/>
      <w:bookmarkStart w:id="24" w:name="_Toc9719"/>
      <w:bookmarkStart w:id="25" w:name="_Toc15559"/>
      <w:r>
        <w:rPr>
          <w:rFonts w:hint="eastAsia" w:ascii="宋体" w:hAnsi="宋体" w:cs="宋体"/>
          <w:i w:val="0"/>
          <w:iCs w:val="0"/>
          <w:color w:val="auto"/>
          <w:sz w:val="24"/>
          <w:highlight w:val="none"/>
        </w:rPr>
        <w:t>3.1</w:t>
      </w:r>
      <w:r>
        <w:rPr>
          <w:rFonts w:hint="eastAsia" w:ascii="宋体" w:hAnsi="宋体" w:cs="宋体"/>
          <w:i w:val="0"/>
          <w:iCs w:val="0"/>
          <w:color w:val="auto"/>
          <w:sz w:val="24"/>
          <w:highlight w:val="none"/>
          <w:lang w:val="en-US" w:eastAsia="zh-CN"/>
        </w:rPr>
        <w:t>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3119CDCB">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2024年度或2025年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459ACE65">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年10月至今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70D787D6">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173B6BA0">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26309F8B">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ascii="宋体" w:hAnsi="宋体" w:cs="宋体"/>
          <w:i w:val="0"/>
          <w:iCs w:val="0"/>
          <w:color w:val="auto"/>
          <w:sz w:val="24"/>
          <w:highlight w:val="none"/>
        </w:rPr>
        <w:t>在开标当天登录相关网站查询并截图，交予评标委员会评审</w:t>
      </w:r>
      <w:r>
        <w:rPr>
          <w:rFonts w:hint="eastAsia" w:ascii="宋体" w:hAnsi="宋体" w:cs="宋体"/>
          <w:i w:val="0"/>
          <w:iCs w:val="0"/>
          <w:color w:val="auto"/>
          <w:sz w:val="24"/>
          <w:highlight w:val="none"/>
        </w:rPr>
        <w:t>。）；</w:t>
      </w:r>
    </w:p>
    <w:p w14:paraId="7D22CC56">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21F4D008">
      <w:pPr>
        <w:pStyle w:val="12"/>
        <w:widowControl w:val="0"/>
        <w:ind w:firstLine="480" w:firstLineChars="20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3.</w:t>
      </w: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2C073D4D">
      <w:pPr>
        <w:pStyle w:val="12"/>
        <w:widowControl w:val="0"/>
        <w:ind w:firstLine="480" w:firstLineChars="200"/>
        <w:jc w:val="both"/>
        <w:rPr>
          <w:rFonts w:hint="default" w:eastAsia="宋体"/>
          <w:highlight w:val="none"/>
          <w:lang w:val="en-US" w:eastAsia="zh-CN"/>
        </w:rPr>
      </w:pPr>
      <w:r>
        <w:rPr>
          <w:rFonts w:hint="eastAsia" w:ascii="宋体" w:hAnsi="宋体" w:eastAsia="宋体" w:cs="宋体"/>
          <w:i w:val="0"/>
          <w:iCs w:val="0"/>
          <w:color w:val="auto"/>
          <w:sz w:val="24"/>
          <w:highlight w:val="none"/>
          <w:lang w:val="en-US" w:eastAsia="zh-CN"/>
        </w:rPr>
        <w:t>3.7投标人如果是代理商或经销商，须提供医疗器械经营许可/备案证，所投产品的医疗器械</w:t>
      </w:r>
      <w:r>
        <w:rPr>
          <w:rFonts w:hint="eastAsia" w:ascii="宋体" w:hAnsi="宋体" w:cs="宋体"/>
          <w:i w:val="0"/>
          <w:iCs w:val="0"/>
          <w:color w:val="auto"/>
          <w:sz w:val="24"/>
          <w:highlight w:val="none"/>
          <w:lang w:val="en-US" w:eastAsia="zh-CN"/>
        </w:rPr>
        <w:t>生产许可证/备案证（</w:t>
      </w:r>
      <w:r>
        <w:rPr>
          <w:rFonts w:hint="eastAsia" w:ascii="宋体" w:hAnsi="宋体" w:eastAsia="宋体" w:cs="宋体"/>
          <w:i w:val="0"/>
          <w:iCs w:val="0"/>
          <w:color w:val="auto"/>
          <w:sz w:val="24"/>
          <w:highlight w:val="none"/>
          <w:lang w:val="en-US" w:eastAsia="zh-CN"/>
        </w:rPr>
        <w:t>制造商工商注册地在中华人民共和国境外的，不做此要求</w:t>
      </w:r>
      <w:r>
        <w:rPr>
          <w:rFonts w:hint="eastAsia" w:ascii="宋体" w:hAnsi="宋体" w:cs="宋体"/>
          <w:i w:val="0"/>
          <w:iCs w:val="0"/>
          <w:color w:val="auto"/>
          <w:sz w:val="24"/>
          <w:highlight w:val="none"/>
          <w:lang w:val="en-US" w:eastAsia="zh-CN"/>
        </w:rPr>
        <w:t>）、所投产品的</w:t>
      </w:r>
      <w:r>
        <w:rPr>
          <w:rFonts w:hint="eastAsia" w:ascii="宋体" w:hAnsi="宋体" w:eastAsia="宋体" w:cs="宋体"/>
          <w:i w:val="0"/>
          <w:iCs w:val="0"/>
          <w:color w:val="auto"/>
          <w:sz w:val="24"/>
          <w:highlight w:val="none"/>
          <w:lang w:val="en-US" w:eastAsia="zh-CN"/>
        </w:rPr>
        <w:t>注册证及附件；投标人如果是制造商，须提供医疗器械生产许可/备案证(制造商工商注册地在中华人民共和国境外的，不做此要求)、所投产品的医疗器械注册证及附件。医疗器械生产或经营许可证生产或经营范围须覆盖所投第二、三类医疗器械(加盖公章的扫描件。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宋体" w:hAnsi="宋体" w:eastAsia="宋体" w:cs="宋体"/>
          <w:i w:val="0"/>
          <w:iCs w:val="0"/>
          <w:color w:val="auto"/>
          <w:sz w:val="24"/>
          <w:highlight w:val="none"/>
        </w:rPr>
        <w:t>。</w:t>
      </w:r>
    </w:p>
    <w:bookmarkEnd w:id="24"/>
    <w:bookmarkEnd w:id="25"/>
    <w:p w14:paraId="6F434F4F">
      <w:pPr>
        <w:bidi w:val="0"/>
        <w:rPr>
          <w:rFonts w:hint="eastAsia" w:ascii="宋体" w:hAnsi="宋体" w:eastAsia="宋体" w:cs="宋体"/>
          <w:b/>
          <w:bCs/>
          <w:sz w:val="28"/>
          <w:szCs w:val="28"/>
        </w:rPr>
      </w:pPr>
      <w:bookmarkStart w:id="26" w:name="_Toc11594"/>
      <w:bookmarkStart w:id="27" w:name="_Toc31098"/>
      <w:bookmarkStart w:id="28" w:name="_Toc18212"/>
      <w:r>
        <w:rPr>
          <w:rFonts w:hint="eastAsia" w:ascii="宋体" w:hAnsi="宋体" w:eastAsia="宋体" w:cs="宋体"/>
          <w:b/>
          <w:bCs/>
          <w:sz w:val="28"/>
          <w:szCs w:val="28"/>
        </w:rPr>
        <w:t>4.</w:t>
      </w:r>
      <w:r>
        <w:rPr>
          <w:rFonts w:hint="eastAsia" w:ascii="宋体" w:hAnsi="宋体" w:eastAsia="宋体" w:cs="宋体"/>
          <w:b/>
          <w:bCs/>
          <w:sz w:val="28"/>
          <w:szCs w:val="28"/>
          <w:lang w:eastAsia="zh-CN"/>
        </w:rPr>
        <w:t>招标文件</w:t>
      </w:r>
      <w:r>
        <w:rPr>
          <w:rFonts w:hint="eastAsia" w:ascii="宋体" w:hAnsi="宋体" w:eastAsia="宋体" w:cs="宋体"/>
          <w:b/>
          <w:bCs/>
          <w:sz w:val="28"/>
          <w:szCs w:val="28"/>
        </w:rPr>
        <w:t>的获取</w:t>
      </w:r>
      <w:bookmarkEnd w:id="26"/>
      <w:bookmarkEnd w:id="27"/>
    </w:p>
    <w:p w14:paraId="3223CD48">
      <w:pPr>
        <w:spacing w:line="360" w:lineRule="auto"/>
        <w:ind w:left="41" w:right="60" w:firstLine="539"/>
        <w:rPr>
          <w:rFonts w:hint="eastAsia" w:ascii="宋体" w:hAnsi="宋体"/>
          <w:color w:val="auto"/>
          <w:kern w:val="2"/>
          <w:sz w:val="24"/>
          <w:szCs w:val="24"/>
        </w:rPr>
      </w:pPr>
      <w:r>
        <w:rPr>
          <w:rFonts w:hint="eastAsia" w:ascii="宋体" w:hAnsi="宋体" w:eastAsia="宋体" w:cs="宋体"/>
          <w:spacing w:val="-6"/>
          <w:sz w:val="24"/>
          <w:szCs w:val="24"/>
          <w:lang w:val="en-US" w:eastAsia="zh-CN"/>
        </w:rPr>
        <w:t>4.1.</w:t>
      </w:r>
      <w:r>
        <w:rPr>
          <w:rFonts w:hint="eastAsia" w:ascii="宋体" w:hAnsi="宋体" w:eastAsia="宋体" w:cs="宋体"/>
          <w:spacing w:val="-6"/>
          <w:sz w:val="24"/>
          <w:szCs w:val="24"/>
          <w:lang w:eastAsia="zh-CN"/>
        </w:rPr>
        <w:t>报名</w:t>
      </w:r>
      <w:r>
        <w:rPr>
          <w:rFonts w:hint="eastAsia" w:ascii="宋体" w:hAnsi="宋体"/>
          <w:color w:val="auto"/>
          <w:kern w:val="2"/>
          <w:sz w:val="24"/>
          <w:szCs w:val="24"/>
        </w:rPr>
        <w:t>时间：20</w:t>
      </w:r>
      <w:r>
        <w:rPr>
          <w:rFonts w:hint="eastAsia" w:ascii="宋体" w:hAnsi="宋体"/>
          <w:color w:val="auto"/>
          <w:kern w:val="2"/>
          <w:sz w:val="24"/>
          <w:szCs w:val="24"/>
          <w:lang w:val="en-US" w:eastAsia="zh-CN"/>
        </w:rPr>
        <w:t>26</w:t>
      </w:r>
      <w:r>
        <w:rPr>
          <w:rFonts w:hint="eastAsia" w:ascii="宋体" w:hAnsi="宋体"/>
          <w:color w:val="auto"/>
          <w:kern w:val="2"/>
          <w:sz w:val="24"/>
          <w:szCs w:val="24"/>
        </w:rPr>
        <w:t>年</w:t>
      </w:r>
      <w:r>
        <w:rPr>
          <w:rFonts w:hint="eastAsia" w:ascii="宋体" w:hAnsi="宋体"/>
          <w:color w:val="auto"/>
          <w:kern w:val="2"/>
          <w:sz w:val="24"/>
          <w:szCs w:val="24"/>
          <w:lang w:val="en-US" w:eastAsia="zh-CN"/>
        </w:rPr>
        <w:t>8</w:t>
      </w:r>
      <w:r>
        <w:rPr>
          <w:rFonts w:hint="eastAsia" w:ascii="宋体" w:hAnsi="宋体"/>
          <w:color w:val="auto"/>
          <w:kern w:val="2"/>
          <w:sz w:val="24"/>
          <w:szCs w:val="24"/>
        </w:rPr>
        <w:t>月</w:t>
      </w:r>
      <w:r>
        <w:rPr>
          <w:rFonts w:hint="eastAsia" w:ascii="宋体" w:hAnsi="宋体"/>
          <w:color w:val="auto"/>
          <w:kern w:val="2"/>
          <w:sz w:val="24"/>
          <w:szCs w:val="24"/>
          <w:lang w:val="en-US" w:eastAsia="zh-CN"/>
        </w:rPr>
        <w:t>18</w:t>
      </w:r>
      <w:r>
        <w:rPr>
          <w:rFonts w:hint="eastAsia" w:ascii="宋体" w:hAnsi="宋体"/>
          <w:color w:val="auto"/>
          <w:kern w:val="2"/>
          <w:sz w:val="24"/>
          <w:szCs w:val="24"/>
        </w:rPr>
        <w:t>日至20</w:t>
      </w:r>
      <w:r>
        <w:rPr>
          <w:rFonts w:hint="eastAsia" w:ascii="宋体" w:hAnsi="宋体"/>
          <w:color w:val="auto"/>
          <w:kern w:val="2"/>
          <w:sz w:val="24"/>
          <w:szCs w:val="24"/>
          <w:lang w:val="en-US" w:eastAsia="zh-CN"/>
        </w:rPr>
        <w:t>26</w:t>
      </w:r>
      <w:r>
        <w:rPr>
          <w:rFonts w:hint="eastAsia" w:ascii="宋体" w:hAnsi="宋体"/>
          <w:color w:val="auto"/>
          <w:kern w:val="2"/>
          <w:sz w:val="24"/>
          <w:szCs w:val="24"/>
        </w:rPr>
        <w:t>年</w:t>
      </w:r>
      <w:r>
        <w:rPr>
          <w:rFonts w:hint="eastAsia" w:ascii="宋体" w:hAnsi="宋体"/>
          <w:color w:val="auto"/>
          <w:kern w:val="2"/>
          <w:sz w:val="24"/>
          <w:szCs w:val="24"/>
          <w:lang w:val="en-US" w:eastAsia="zh-CN"/>
        </w:rPr>
        <w:t>8</w:t>
      </w:r>
      <w:r>
        <w:rPr>
          <w:rFonts w:hint="eastAsia" w:ascii="宋体" w:hAnsi="宋体"/>
          <w:color w:val="auto"/>
          <w:kern w:val="2"/>
          <w:sz w:val="24"/>
          <w:szCs w:val="24"/>
        </w:rPr>
        <w:t>月</w:t>
      </w:r>
      <w:r>
        <w:rPr>
          <w:rFonts w:hint="eastAsia" w:ascii="宋体" w:hAnsi="宋体"/>
          <w:color w:val="auto"/>
          <w:kern w:val="2"/>
          <w:sz w:val="24"/>
          <w:szCs w:val="24"/>
          <w:lang w:val="en-US" w:eastAsia="zh-CN"/>
        </w:rPr>
        <w:t>20</w:t>
      </w:r>
      <w:r>
        <w:rPr>
          <w:rFonts w:hint="eastAsia" w:ascii="宋体" w:hAnsi="宋体"/>
          <w:color w:val="auto"/>
          <w:kern w:val="2"/>
          <w:sz w:val="24"/>
          <w:szCs w:val="24"/>
        </w:rPr>
        <w:t>日，每天上午0</w:t>
      </w:r>
      <w:r>
        <w:rPr>
          <w:rFonts w:hint="eastAsia" w:ascii="宋体" w:hAnsi="宋体"/>
          <w:color w:val="auto"/>
          <w:kern w:val="2"/>
          <w:sz w:val="24"/>
          <w:szCs w:val="24"/>
          <w:lang w:val="en-US" w:eastAsia="zh-CN"/>
        </w:rPr>
        <w:t>8</w:t>
      </w:r>
      <w:r>
        <w:rPr>
          <w:rFonts w:hint="eastAsia" w:ascii="宋体" w:hAnsi="宋体"/>
          <w:color w:val="auto"/>
          <w:kern w:val="2"/>
          <w:sz w:val="24"/>
          <w:szCs w:val="24"/>
        </w:rPr>
        <w:t>时</w:t>
      </w:r>
      <w:r>
        <w:rPr>
          <w:rFonts w:hint="eastAsia" w:ascii="宋体" w:hAnsi="宋体"/>
          <w:color w:val="auto"/>
          <w:kern w:val="2"/>
          <w:sz w:val="24"/>
          <w:szCs w:val="24"/>
          <w:lang w:val="en-US" w:eastAsia="zh-CN"/>
        </w:rPr>
        <w:t>3</w:t>
      </w:r>
      <w:r>
        <w:rPr>
          <w:rFonts w:hint="eastAsia" w:ascii="宋体" w:hAnsi="宋体"/>
          <w:color w:val="auto"/>
          <w:kern w:val="2"/>
          <w:sz w:val="24"/>
          <w:szCs w:val="24"/>
        </w:rPr>
        <w:t>0分至11时30分，下午14时00分至17时</w:t>
      </w:r>
      <w:r>
        <w:rPr>
          <w:rFonts w:hint="eastAsia" w:ascii="宋体" w:hAnsi="宋体"/>
          <w:color w:val="auto"/>
          <w:kern w:val="2"/>
          <w:sz w:val="24"/>
          <w:szCs w:val="24"/>
          <w:lang w:val="en-US" w:eastAsia="zh-CN"/>
        </w:rPr>
        <w:t>3</w:t>
      </w:r>
      <w:r>
        <w:rPr>
          <w:rFonts w:hint="eastAsia" w:ascii="宋体" w:hAnsi="宋体"/>
          <w:color w:val="auto"/>
          <w:kern w:val="2"/>
          <w:sz w:val="24"/>
          <w:szCs w:val="24"/>
        </w:rPr>
        <w:t>0分。</w:t>
      </w:r>
      <w:r>
        <w:rPr>
          <w:rFonts w:hint="eastAsia" w:ascii="宋体" w:hAnsi="宋体" w:eastAsia="宋体" w:cs="宋体"/>
          <w:sz w:val="24"/>
          <w:szCs w:val="24"/>
          <w:highlight w:val="none"/>
        </w:rPr>
        <w:t>（北京时间）</w:t>
      </w:r>
    </w:p>
    <w:p w14:paraId="72D5B51C">
      <w:pPr>
        <w:spacing w:line="360" w:lineRule="auto"/>
        <w:ind w:left="41" w:right="60" w:firstLine="539"/>
        <w:rPr>
          <w:rFonts w:ascii="宋体" w:hAnsi="宋体" w:eastAsia="宋体" w:cs="宋体"/>
          <w:sz w:val="24"/>
          <w:szCs w:val="24"/>
        </w:rPr>
      </w:pPr>
      <w:r>
        <w:rPr>
          <w:rFonts w:hint="eastAsia" w:ascii="宋体" w:hAnsi="宋体"/>
          <w:color w:val="auto"/>
          <w:kern w:val="2"/>
          <w:sz w:val="24"/>
          <w:szCs w:val="24"/>
          <w:lang w:eastAsia="zh-CN"/>
        </w:rPr>
        <w:t>地点：</w:t>
      </w:r>
      <w:r>
        <w:rPr>
          <w:rFonts w:hint="eastAsia" w:ascii="宋体" w:hAnsi="宋体" w:eastAsia="宋体" w:cs="宋体"/>
          <w:spacing w:val="-6"/>
          <w:sz w:val="24"/>
          <w:szCs w:val="24"/>
          <w:lang w:eastAsia="zh-CN"/>
        </w:rPr>
        <w:t>红河州第二人民医院行政办公区</w:t>
      </w:r>
      <w:r>
        <w:rPr>
          <w:rFonts w:hint="eastAsia" w:ascii="宋体" w:hAnsi="宋体" w:eastAsia="宋体" w:cs="宋体"/>
          <w:spacing w:val="-6"/>
          <w:sz w:val="24"/>
          <w:szCs w:val="24"/>
          <w:lang w:val="en-US" w:eastAsia="zh-CN"/>
        </w:rPr>
        <w:t>204室</w:t>
      </w:r>
      <w:r>
        <w:rPr>
          <w:rFonts w:hint="eastAsia" w:ascii="宋体" w:hAnsi="宋体" w:eastAsia="宋体" w:cs="宋体"/>
          <w:spacing w:val="-6"/>
          <w:sz w:val="24"/>
          <w:szCs w:val="24"/>
          <w:lang w:eastAsia="zh-CN"/>
        </w:rPr>
        <w:t>招标采购办公室，</w:t>
      </w:r>
      <w:r>
        <w:rPr>
          <w:rFonts w:hint="eastAsia" w:ascii="宋体" w:hAnsi="宋体" w:eastAsia="宋体" w:cs="宋体"/>
          <w:spacing w:val="-6"/>
          <w:sz w:val="24"/>
          <w:szCs w:val="24"/>
          <w:lang w:val="en-US" w:eastAsia="zh-CN"/>
        </w:rPr>
        <w:t>如不能到达现场报名，可用线上报名的方式</w:t>
      </w:r>
      <w:r>
        <w:rPr>
          <w:rFonts w:hint="eastAsia" w:ascii="宋体" w:hAnsi="宋体" w:eastAsia="宋体" w:cs="宋体"/>
          <w:spacing w:val="-6"/>
          <w:sz w:val="24"/>
          <w:szCs w:val="24"/>
          <w:lang w:eastAsia="zh-CN"/>
        </w:rPr>
        <w:t>。线上报名：可将报名资料发至</w:t>
      </w:r>
      <w:r>
        <w:rPr>
          <w:rFonts w:hint="eastAsia" w:ascii="宋体" w:hAnsi="宋体" w:eastAsia="宋体" w:cs="宋体"/>
          <w:spacing w:val="-6"/>
          <w:sz w:val="24"/>
          <w:szCs w:val="24"/>
          <w:lang w:val="en-US" w:eastAsia="zh-CN"/>
        </w:rPr>
        <w:t>18988261612@163.com邮箱。</w:t>
      </w:r>
    </w:p>
    <w:p w14:paraId="34759EBA">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pacing w:val="-4"/>
          <w:sz w:val="24"/>
          <w:szCs w:val="24"/>
          <w:lang w:val="en-US" w:eastAsia="zh-CN"/>
        </w:rPr>
        <w:t>4.2.</w:t>
      </w:r>
      <w:r>
        <w:rPr>
          <w:rFonts w:hint="eastAsia" w:ascii="宋体" w:hAnsi="宋体" w:eastAsia="宋体" w:cs="宋体"/>
          <w:spacing w:val="-4"/>
          <w:sz w:val="24"/>
          <w:szCs w:val="24"/>
          <w:lang w:eastAsia="zh-CN"/>
        </w:rPr>
        <w:t>报名资料</w:t>
      </w:r>
      <w:r>
        <w:rPr>
          <w:rFonts w:ascii="宋体" w:hAnsi="宋体" w:eastAsia="宋体" w:cs="宋体"/>
          <w:spacing w:val="-4"/>
          <w:sz w:val="24"/>
          <w:szCs w:val="24"/>
        </w:rPr>
        <w:t>：持企业营业执照复印件加盖公章</w:t>
      </w:r>
      <w:r>
        <w:rPr>
          <w:rFonts w:hint="eastAsia" w:ascii="宋体" w:hAnsi="宋体" w:eastAsia="宋体" w:cs="宋体"/>
          <w:spacing w:val="-4"/>
          <w:sz w:val="24"/>
          <w:szCs w:val="24"/>
          <w:lang w:eastAsia="zh-CN"/>
        </w:rPr>
        <w:t>，</w:t>
      </w:r>
      <w:r>
        <w:rPr>
          <w:rFonts w:ascii="宋体" w:hAnsi="宋体" w:eastAsia="宋体" w:cs="宋体"/>
          <w:spacing w:val="-4"/>
          <w:sz w:val="24"/>
          <w:szCs w:val="24"/>
        </w:rPr>
        <w:t>法定代表人身份证明书及法定代表人身份</w:t>
      </w:r>
      <w:r>
        <w:rPr>
          <w:rFonts w:ascii="宋体" w:hAnsi="宋体" w:eastAsia="宋体" w:cs="宋体"/>
          <w:spacing w:val="-3"/>
          <w:sz w:val="24"/>
          <w:szCs w:val="24"/>
        </w:rPr>
        <w:t>证</w:t>
      </w:r>
      <w:r>
        <w:rPr>
          <w:rFonts w:ascii="宋体" w:hAnsi="宋体" w:eastAsia="宋体" w:cs="宋体"/>
          <w:spacing w:val="11"/>
          <w:sz w:val="24"/>
          <w:szCs w:val="24"/>
        </w:rPr>
        <w:t>(</w:t>
      </w:r>
      <w:r>
        <w:rPr>
          <w:rFonts w:ascii="宋体" w:hAnsi="宋体" w:eastAsia="宋体" w:cs="宋体"/>
          <w:spacing w:val="6"/>
          <w:sz w:val="24"/>
          <w:szCs w:val="24"/>
        </w:rPr>
        <w:t>复印件加盖公章)</w:t>
      </w:r>
      <w:r>
        <w:rPr>
          <w:rFonts w:hint="eastAsia" w:ascii="宋体" w:hAnsi="宋体" w:eastAsia="宋体" w:cs="宋体"/>
          <w:spacing w:val="6"/>
          <w:sz w:val="24"/>
          <w:szCs w:val="24"/>
          <w:lang w:val="en-US" w:eastAsia="zh-CN"/>
        </w:rPr>
        <w:t>,</w:t>
      </w:r>
      <w:r>
        <w:rPr>
          <w:rFonts w:ascii="宋体" w:hAnsi="宋体" w:eastAsia="宋体" w:cs="宋体"/>
          <w:spacing w:val="6"/>
          <w:sz w:val="24"/>
          <w:szCs w:val="24"/>
        </w:rPr>
        <w:t>法定代表人授权</w:t>
      </w:r>
      <w:r>
        <w:rPr>
          <w:rFonts w:hint="eastAsia" w:ascii="宋体" w:hAnsi="宋体" w:eastAsia="宋体" w:cs="宋体"/>
          <w:spacing w:val="6"/>
          <w:sz w:val="24"/>
          <w:szCs w:val="24"/>
          <w:lang w:eastAsia="zh-CN"/>
        </w:rPr>
        <w:t>委托书</w:t>
      </w:r>
      <w:r>
        <w:rPr>
          <w:rFonts w:ascii="宋体" w:hAnsi="宋体" w:eastAsia="宋体" w:cs="宋体"/>
          <w:spacing w:val="6"/>
          <w:sz w:val="24"/>
          <w:szCs w:val="24"/>
        </w:rPr>
        <w:t>及授权</w:t>
      </w:r>
      <w:r>
        <w:rPr>
          <w:rFonts w:hint="eastAsia" w:ascii="宋体" w:hAnsi="宋体" w:eastAsia="宋体" w:cs="宋体"/>
          <w:spacing w:val="6"/>
          <w:sz w:val="24"/>
          <w:szCs w:val="24"/>
          <w:lang w:eastAsia="zh-CN"/>
        </w:rPr>
        <w:t>委托人</w:t>
      </w:r>
      <w:r>
        <w:rPr>
          <w:rFonts w:ascii="宋体" w:hAnsi="宋体" w:eastAsia="宋体" w:cs="宋体"/>
          <w:spacing w:val="6"/>
          <w:sz w:val="24"/>
          <w:szCs w:val="24"/>
        </w:rPr>
        <w:t>身份证(复印件加盖公章)</w:t>
      </w:r>
      <w:r>
        <w:rPr>
          <w:rFonts w:hint="eastAsia" w:ascii="宋体" w:hAnsi="宋体" w:eastAsia="宋体" w:cs="宋体"/>
          <w:spacing w:val="6"/>
          <w:sz w:val="24"/>
          <w:szCs w:val="24"/>
          <w:lang w:eastAsia="zh-CN"/>
        </w:rPr>
        <w:t>及联系电话。</w:t>
      </w:r>
    </w:p>
    <w:p w14:paraId="668EF269">
      <w:pPr>
        <w:widowControl/>
        <w:numPr>
          <w:ilvl w:val="0"/>
          <w:numId w:val="0"/>
        </w:numPr>
        <w:tabs>
          <w:tab w:val="left" w:pos="162"/>
        </w:tabs>
        <w:spacing w:before="4" w:line="358" w:lineRule="auto"/>
        <w:ind w:right="41" w:rightChars="0" w:firstLine="464" w:firstLineChars="200"/>
        <w:jc w:val="left"/>
        <w:rPr>
          <w:rFonts w:hint="eastAsia" w:ascii="宋体" w:hAnsi="宋体" w:eastAsia="宋体" w:cs="宋体"/>
          <w:spacing w:val="-4"/>
          <w:kern w:val="0"/>
          <w:sz w:val="24"/>
          <w:szCs w:val="24"/>
          <w:lang w:val="en-US" w:eastAsia="zh-CN"/>
        </w:rPr>
      </w:pPr>
      <w:r>
        <w:rPr>
          <w:rFonts w:hint="eastAsia" w:ascii="宋体" w:hAnsi="宋体" w:eastAsia="宋体" w:cs="宋体"/>
          <w:spacing w:val="-4"/>
          <w:kern w:val="0"/>
          <w:sz w:val="24"/>
          <w:szCs w:val="24"/>
          <w:lang w:val="en-US" w:eastAsia="zh-CN"/>
        </w:rPr>
        <w:t>4.3.获取采购文件：</w:t>
      </w:r>
    </w:p>
    <w:p w14:paraId="72FB24B4">
      <w:pPr>
        <w:widowControl/>
        <w:numPr>
          <w:ilvl w:val="0"/>
          <w:numId w:val="0"/>
        </w:numPr>
        <w:tabs>
          <w:tab w:val="left" w:pos="162"/>
        </w:tabs>
        <w:spacing w:before="4" w:line="358" w:lineRule="auto"/>
        <w:ind w:right="41" w:rightChars="0" w:firstLine="464" w:firstLineChars="200"/>
        <w:jc w:val="left"/>
        <w:rPr>
          <w:rFonts w:hint="eastAsia" w:ascii="宋体" w:hAnsi="宋体" w:eastAsia="宋体" w:cs="宋体"/>
          <w:spacing w:val="-4"/>
          <w:kern w:val="0"/>
          <w:sz w:val="24"/>
          <w:szCs w:val="24"/>
          <w:lang w:val="en-US" w:eastAsia="zh-CN"/>
        </w:rPr>
      </w:pPr>
      <w:r>
        <w:rPr>
          <w:rFonts w:hint="eastAsia" w:ascii="宋体" w:hAnsi="宋体" w:eastAsia="宋体" w:cs="宋体"/>
          <w:spacing w:val="-4"/>
          <w:kern w:val="0"/>
          <w:sz w:val="24"/>
          <w:szCs w:val="24"/>
          <w:lang w:val="en-US" w:eastAsia="zh-CN"/>
        </w:rPr>
        <w:t>报名后到红河州第二人民医院https://www.hh2yy.com/index.html官网进行下载，免费获取。</w:t>
      </w:r>
    </w:p>
    <w:p w14:paraId="46445B3C">
      <w:pPr>
        <w:bidi w:val="0"/>
        <w:rPr>
          <w:rFonts w:hint="eastAsia" w:ascii="宋体" w:hAnsi="宋体" w:eastAsia="宋体" w:cs="宋体"/>
          <w:b/>
          <w:bCs/>
          <w:sz w:val="28"/>
          <w:szCs w:val="28"/>
        </w:rPr>
      </w:pPr>
      <w:r>
        <w:rPr>
          <w:rFonts w:hint="eastAsia" w:ascii="宋体" w:hAnsi="宋体" w:eastAsia="宋体" w:cs="宋体"/>
          <w:b/>
          <w:bCs/>
          <w:sz w:val="28"/>
          <w:szCs w:val="28"/>
          <w:lang w:val="en-US" w:eastAsia="zh-CN"/>
        </w:rPr>
        <w:t>5</w:t>
      </w:r>
      <w:r>
        <w:rPr>
          <w:rFonts w:hint="eastAsia" w:ascii="宋体" w:hAnsi="宋体" w:eastAsia="宋体" w:cs="宋体"/>
          <w:b/>
          <w:bCs/>
          <w:sz w:val="28"/>
          <w:szCs w:val="28"/>
        </w:rPr>
        <w:t>、响应文件提交</w:t>
      </w:r>
    </w:p>
    <w:p w14:paraId="1578F5A3">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sz w:val="24"/>
          <w:szCs w:val="24"/>
          <w:highlight w:val="none"/>
          <w:u w:val="none"/>
          <w14:textFill>
            <w14:solidFill>
              <w14:schemeClr w14:val="tx1"/>
            </w14:solidFill>
          </w14:textFill>
        </w:rPr>
      </w:pPr>
      <w:r>
        <w:rPr>
          <w:rFonts w:hint="eastAsia" w:ascii="宋体" w:hAnsi="宋体" w:eastAsia="宋体" w:cs="宋体"/>
          <w:sz w:val="24"/>
          <w:szCs w:val="24"/>
          <w:highlight w:val="none"/>
        </w:rPr>
        <w:t>截止时间：</w:t>
      </w:r>
      <w:r>
        <w:rPr>
          <w:rFonts w:hint="eastAsia" w:ascii="宋体" w:hAnsi="宋体" w:cs="宋体"/>
          <w:b/>
          <w:i w:val="0"/>
          <w:caps w:val="0"/>
          <w:color w:val="auto"/>
          <w:spacing w:val="0"/>
          <w:kern w:val="0"/>
          <w:sz w:val="24"/>
          <w:szCs w:val="24"/>
          <w:u w:val="single"/>
          <w:shd w:val="clear" w:color="auto" w:fill="FFFFFF"/>
          <w:lang w:val="en-US" w:eastAsia="zh-CN" w:bidi="ar"/>
        </w:rPr>
        <w:t>2026</w:t>
      </w:r>
      <w:r>
        <w:rPr>
          <w:rFonts w:hint="eastAsia" w:ascii="宋体" w:hAnsi="宋体" w:cs="宋体"/>
          <w:b/>
          <w:i w:val="0"/>
          <w:caps w:val="0"/>
          <w:color w:val="auto"/>
          <w:spacing w:val="0"/>
          <w:kern w:val="0"/>
          <w:sz w:val="24"/>
          <w:szCs w:val="24"/>
          <w:shd w:val="clear" w:color="auto" w:fill="FFFFFF"/>
          <w:lang w:val="en-US" w:eastAsia="zh-CN" w:bidi="ar"/>
        </w:rPr>
        <w:t>年</w:t>
      </w:r>
      <w:r>
        <w:rPr>
          <w:rFonts w:hint="eastAsia" w:ascii="宋体" w:hAnsi="宋体" w:cs="宋体"/>
          <w:b w:val="0"/>
          <w:bCs/>
          <w:i w:val="0"/>
          <w:caps w:val="0"/>
          <w:color w:val="auto"/>
          <w:spacing w:val="0"/>
          <w:kern w:val="0"/>
          <w:sz w:val="24"/>
          <w:szCs w:val="24"/>
          <w:u w:val="single"/>
          <w:shd w:val="clear" w:color="auto" w:fill="FFFFFF"/>
          <w:lang w:val="en-US" w:eastAsia="zh-CN" w:bidi="ar"/>
        </w:rPr>
        <w:t>8</w:t>
      </w:r>
      <w:r>
        <w:rPr>
          <w:rFonts w:hint="eastAsia" w:ascii="宋体" w:hAnsi="宋体" w:cs="宋体"/>
          <w:b w:val="0"/>
          <w:bCs/>
          <w:i w:val="0"/>
          <w:caps w:val="0"/>
          <w:color w:val="auto"/>
          <w:spacing w:val="0"/>
          <w:kern w:val="0"/>
          <w:sz w:val="24"/>
          <w:szCs w:val="24"/>
          <w:u w:val="none"/>
          <w:shd w:val="clear" w:color="auto" w:fill="FFFFFF"/>
          <w:lang w:val="en-US" w:eastAsia="zh-CN" w:bidi="ar"/>
        </w:rPr>
        <w:t>月</w:t>
      </w:r>
      <w:r>
        <w:rPr>
          <w:rFonts w:hint="eastAsia" w:ascii="宋体" w:hAnsi="宋体" w:cs="宋体"/>
          <w:b w:val="0"/>
          <w:bCs/>
          <w:i w:val="0"/>
          <w:caps w:val="0"/>
          <w:color w:val="auto"/>
          <w:spacing w:val="0"/>
          <w:kern w:val="0"/>
          <w:sz w:val="24"/>
          <w:szCs w:val="24"/>
          <w:u w:val="single"/>
          <w:shd w:val="clear" w:color="auto" w:fill="FFFFFF"/>
          <w:lang w:val="en-US" w:eastAsia="zh-CN" w:bidi="ar"/>
        </w:rPr>
        <w:t>25</w:t>
      </w:r>
      <w:r>
        <w:rPr>
          <w:rFonts w:hint="eastAsia" w:ascii="宋体" w:hAnsi="宋体" w:cs="宋体"/>
          <w:b w:val="0"/>
          <w:bCs/>
          <w:i w:val="0"/>
          <w:caps w:val="0"/>
          <w:color w:val="auto"/>
          <w:spacing w:val="0"/>
          <w:kern w:val="0"/>
          <w:sz w:val="24"/>
          <w:szCs w:val="24"/>
          <w:u w:val="none"/>
          <w:shd w:val="clear" w:color="auto" w:fill="FFFFFF"/>
          <w:lang w:val="en-US" w:eastAsia="zh-CN" w:bidi="ar"/>
        </w:rPr>
        <w:t>日下午</w:t>
      </w:r>
      <w:r>
        <w:rPr>
          <w:rFonts w:hint="eastAsia" w:ascii="宋体" w:hAnsi="宋体" w:cs="宋体"/>
          <w:b w:val="0"/>
          <w:bCs/>
          <w:i w:val="0"/>
          <w:caps w:val="0"/>
          <w:color w:val="auto"/>
          <w:spacing w:val="0"/>
          <w:kern w:val="0"/>
          <w:sz w:val="24"/>
          <w:szCs w:val="24"/>
          <w:u w:val="single"/>
          <w:shd w:val="clear" w:color="auto" w:fill="FFFFFF"/>
          <w:lang w:val="en-US" w:eastAsia="zh-CN" w:bidi="ar"/>
        </w:rPr>
        <w:t>14</w:t>
      </w:r>
      <w:r>
        <w:rPr>
          <w:rFonts w:hint="eastAsia" w:ascii="宋体" w:hAnsi="宋体" w:cs="宋体"/>
          <w:b w:val="0"/>
          <w:bCs/>
          <w:i w:val="0"/>
          <w:caps w:val="0"/>
          <w:color w:val="auto"/>
          <w:spacing w:val="0"/>
          <w:kern w:val="0"/>
          <w:sz w:val="24"/>
          <w:szCs w:val="24"/>
          <w:u w:val="none"/>
          <w:shd w:val="clear" w:color="auto" w:fill="FFFFFF"/>
          <w:lang w:val="en-US" w:eastAsia="zh-CN" w:bidi="ar"/>
        </w:rPr>
        <w:t>时</w:t>
      </w:r>
      <w:r>
        <w:rPr>
          <w:rFonts w:hint="eastAsia" w:ascii="宋体" w:hAnsi="宋体" w:cs="宋体"/>
          <w:b w:val="0"/>
          <w:bCs/>
          <w:i w:val="0"/>
          <w:caps w:val="0"/>
          <w:color w:val="auto"/>
          <w:spacing w:val="0"/>
          <w:kern w:val="0"/>
          <w:sz w:val="24"/>
          <w:szCs w:val="24"/>
          <w:u w:val="single"/>
          <w:shd w:val="clear" w:color="auto" w:fill="FFFFFF"/>
          <w:lang w:val="en-US" w:eastAsia="zh-CN" w:bidi="ar"/>
        </w:rPr>
        <w:t>30</w:t>
      </w:r>
      <w:r>
        <w:rPr>
          <w:rFonts w:hint="eastAsia" w:ascii="宋体" w:hAnsi="宋体" w:cs="宋体"/>
          <w:b w:val="0"/>
          <w:bCs/>
          <w:i w:val="0"/>
          <w:caps w:val="0"/>
          <w:color w:val="auto"/>
          <w:spacing w:val="0"/>
          <w:kern w:val="0"/>
          <w:sz w:val="24"/>
          <w:szCs w:val="24"/>
          <w:u w:val="none"/>
          <w:shd w:val="clear" w:color="auto" w:fill="FFFFFF"/>
          <w:lang w:val="en-US" w:eastAsia="zh-CN" w:bidi="ar"/>
        </w:rPr>
        <w:t>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（北京时间）</w:t>
      </w:r>
    </w:p>
    <w:p w14:paraId="62CAF3B2">
      <w:pPr>
        <w:ind w:firstLine="480" w:firstLineChars="200"/>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地点：</w:t>
      </w:r>
      <w:r>
        <w:rPr>
          <w:rFonts w:hint="eastAsia" w:ascii="宋体" w:hAnsi="宋体"/>
          <w:color w:val="000000" w:themeColor="text1"/>
          <w:kern w:val="2"/>
          <w:sz w:val="24"/>
          <w:szCs w:val="24"/>
          <w14:textFill>
            <w14:solidFill>
              <w14:schemeClr w14:val="tx1"/>
            </w14:solidFill>
          </w14:textFill>
        </w:rPr>
        <w:t>红河州第二人民医院行政办公区</w:t>
      </w:r>
      <w:r>
        <w:rPr>
          <w:rFonts w:hint="eastAsia" w:ascii="宋体" w:hAnsi="宋体"/>
          <w:color w:val="000000" w:themeColor="text1"/>
          <w:kern w:val="2"/>
          <w:sz w:val="24"/>
          <w:szCs w:val="24"/>
          <w:lang w:val="en-US" w:eastAsia="zh-CN"/>
          <w14:textFill>
            <w14:solidFill>
              <w14:schemeClr w14:val="tx1"/>
            </w14:solidFill>
          </w14:textFill>
        </w:rPr>
        <w:t>204</w:t>
      </w:r>
      <w:r>
        <w:rPr>
          <w:rFonts w:hint="eastAsia" w:ascii="宋体" w:hAnsi="宋体"/>
          <w:color w:val="000000" w:themeColor="text1"/>
          <w:kern w:val="2"/>
          <w:sz w:val="24"/>
          <w:szCs w:val="24"/>
          <w14:textFill>
            <w14:solidFill>
              <w14:schemeClr w14:val="tx1"/>
            </w14:solidFill>
          </w14:textFill>
        </w:rPr>
        <w:t>室</w:t>
      </w:r>
    </w:p>
    <w:p w14:paraId="5070121A">
      <w:pPr>
        <w:bidi w:val="0"/>
        <w:rPr>
          <w:rFonts w:hint="eastAsia" w:ascii="宋体" w:hAnsi="宋体" w:eastAsia="宋体" w:cs="宋体"/>
          <w:b/>
          <w:bCs/>
          <w:sz w:val="28"/>
          <w:szCs w:val="28"/>
          <w:lang w:val="en-US" w:eastAsia="zh-CN"/>
        </w:rPr>
      </w:pPr>
      <w:bookmarkStart w:id="29" w:name="_Toc28359016"/>
      <w:bookmarkStart w:id="30" w:name="_Toc35393633"/>
      <w:bookmarkStart w:id="31" w:name="_Toc35393802"/>
      <w:bookmarkStart w:id="32" w:name="_Toc28359093"/>
      <w:r>
        <w:rPr>
          <w:rFonts w:hint="eastAsia" w:ascii="宋体" w:hAnsi="宋体" w:eastAsia="宋体" w:cs="宋体"/>
          <w:b/>
          <w:bCs/>
          <w:sz w:val="28"/>
          <w:szCs w:val="28"/>
          <w:lang w:val="en-US" w:eastAsia="zh-CN"/>
        </w:rPr>
        <w:t>6、开启</w:t>
      </w:r>
      <w:bookmarkEnd w:id="29"/>
      <w:bookmarkEnd w:id="30"/>
      <w:bookmarkEnd w:id="31"/>
      <w:bookmarkEnd w:id="32"/>
    </w:p>
    <w:p w14:paraId="4B1727AF">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themeColor="text1"/>
          <w:sz w:val="24"/>
          <w:szCs w:val="24"/>
          <w:highlight w:val="none"/>
          <w:u w:val="none"/>
          <w14:textFill>
            <w14:solidFill>
              <w14:schemeClr w14:val="tx1"/>
            </w14:solidFill>
          </w14:textFill>
        </w:rPr>
      </w:pPr>
      <w:r>
        <w:rPr>
          <w:rFonts w:hint="eastAsia" w:ascii="宋体" w:hAnsi="宋体" w:eastAsia="宋体" w:cs="宋体"/>
          <w:sz w:val="24"/>
          <w:szCs w:val="24"/>
          <w:highlight w:val="none"/>
        </w:rPr>
        <w:t>时间：</w:t>
      </w:r>
      <w:r>
        <w:rPr>
          <w:rFonts w:hint="eastAsia" w:ascii="宋体" w:hAnsi="宋体" w:cs="宋体"/>
          <w:b/>
          <w:i w:val="0"/>
          <w:caps w:val="0"/>
          <w:color w:val="auto"/>
          <w:spacing w:val="0"/>
          <w:kern w:val="0"/>
          <w:sz w:val="24"/>
          <w:szCs w:val="24"/>
          <w:u w:val="single"/>
          <w:shd w:val="clear" w:color="auto" w:fill="FFFFFF"/>
          <w:lang w:val="en-US" w:eastAsia="zh-CN" w:bidi="ar"/>
        </w:rPr>
        <w:t>2026</w:t>
      </w:r>
      <w:r>
        <w:rPr>
          <w:rFonts w:hint="eastAsia" w:ascii="宋体" w:hAnsi="宋体" w:cs="宋体"/>
          <w:b/>
          <w:i w:val="0"/>
          <w:caps w:val="0"/>
          <w:color w:val="auto"/>
          <w:spacing w:val="0"/>
          <w:kern w:val="0"/>
          <w:sz w:val="24"/>
          <w:szCs w:val="24"/>
          <w:shd w:val="clear" w:color="auto" w:fill="FFFFFF"/>
          <w:lang w:val="en-US" w:eastAsia="zh-CN" w:bidi="ar"/>
        </w:rPr>
        <w:t>年</w:t>
      </w:r>
      <w:r>
        <w:rPr>
          <w:rFonts w:hint="eastAsia" w:ascii="宋体" w:hAnsi="宋体" w:cs="宋体"/>
          <w:b w:val="0"/>
          <w:bCs/>
          <w:i w:val="0"/>
          <w:caps w:val="0"/>
          <w:color w:val="auto"/>
          <w:spacing w:val="0"/>
          <w:kern w:val="0"/>
          <w:sz w:val="24"/>
          <w:szCs w:val="24"/>
          <w:u w:val="single"/>
          <w:shd w:val="clear" w:color="auto" w:fill="FFFFFF"/>
          <w:lang w:val="en-US" w:eastAsia="zh-CN" w:bidi="ar"/>
        </w:rPr>
        <w:t>8</w:t>
      </w:r>
      <w:r>
        <w:rPr>
          <w:rFonts w:hint="eastAsia" w:ascii="宋体" w:hAnsi="宋体" w:cs="宋体"/>
          <w:b w:val="0"/>
          <w:bCs/>
          <w:i w:val="0"/>
          <w:caps w:val="0"/>
          <w:color w:val="auto"/>
          <w:spacing w:val="0"/>
          <w:kern w:val="0"/>
          <w:sz w:val="24"/>
          <w:szCs w:val="24"/>
          <w:u w:val="none"/>
          <w:shd w:val="clear" w:color="auto" w:fill="FFFFFF"/>
          <w:lang w:val="en-US" w:eastAsia="zh-CN" w:bidi="ar"/>
        </w:rPr>
        <w:t>月</w:t>
      </w:r>
      <w:r>
        <w:rPr>
          <w:rFonts w:hint="eastAsia" w:ascii="宋体" w:hAnsi="宋体" w:cs="宋体"/>
          <w:b w:val="0"/>
          <w:bCs/>
          <w:i w:val="0"/>
          <w:caps w:val="0"/>
          <w:color w:val="auto"/>
          <w:spacing w:val="0"/>
          <w:kern w:val="0"/>
          <w:sz w:val="24"/>
          <w:szCs w:val="24"/>
          <w:u w:val="single"/>
          <w:shd w:val="clear" w:color="auto" w:fill="FFFFFF"/>
          <w:lang w:val="en-US" w:eastAsia="zh-CN" w:bidi="ar"/>
        </w:rPr>
        <w:t>25</w:t>
      </w:r>
      <w:r>
        <w:rPr>
          <w:rFonts w:hint="eastAsia" w:ascii="宋体" w:hAnsi="宋体" w:cs="宋体"/>
          <w:b w:val="0"/>
          <w:bCs/>
          <w:i w:val="0"/>
          <w:caps w:val="0"/>
          <w:color w:val="auto"/>
          <w:spacing w:val="0"/>
          <w:kern w:val="0"/>
          <w:sz w:val="24"/>
          <w:szCs w:val="24"/>
          <w:u w:val="none"/>
          <w:shd w:val="clear" w:color="auto" w:fill="FFFFFF"/>
          <w:lang w:val="en-US" w:eastAsia="zh-CN" w:bidi="ar"/>
        </w:rPr>
        <w:t>日下午</w:t>
      </w:r>
      <w:r>
        <w:rPr>
          <w:rFonts w:hint="eastAsia" w:ascii="宋体" w:hAnsi="宋体" w:cs="宋体"/>
          <w:b w:val="0"/>
          <w:bCs/>
          <w:i w:val="0"/>
          <w:caps w:val="0"/>
          <w:color w:val="auto"/>
          <w:spacing w:val="0"/>
          <w:kern w:val="0"/>
          <w:sz w:val="24"/>
          <w:szCs w:val="24"/>
          <w:u w:val="single"/>
          <w:shd w:val="clear" w:color="auto" w:fill="FFFFFF"/>
          <w:lang w:val="en-US" w:eastAsia="zh-CN" w:bidi="ar"/>
        </w:rPr>
        <w:t>14</w:t>
      </w:r>
      <w:r>
        <w:rPr>
          <w:rFonts w:hint="eastAsia" w:ascii="宋体" w:hAnsi="宋体" w:cs="宋体"/>
          <w:b w:val="0"/>
          <w:bCs/>
          <w:i w:val="0"/>
          <w:caps w:val="0"/>
          <w:color w:val="auto"/>
          <w:spacing w:val="0"/>
          <w:kern w:val="0"/>
          <w:sz w:val="24"/>
          <w:szCs w:val="24"/>
          <w:u w:val="none"/>
          <w:shd w:val="clear" w:color="auto" w:fill="FFFFFF"/>
          <w:lang w:val="en-US" w:eastAsia="zh-CN" w:bidi="ar"/>
        </w:rPr>
        <w:t>时</w:t>
      </w:r>
      <w:r>
        <w:rPr>
          <w:rFonts w:hint="eastAsia" w:ascii="宋体" w:hAnsi="宋体" w:cs="宋体"/>
          <w:b w:val="0"/>
          <w:bCs/>
          <w:i w:val="0"/>
          <w:caps w:val="0"/>
          <w:color w:val="auto"/>
          <w:spacing w:val="0"/>
          <w:kern w:val="0"/>
          <w:sz w:val="24"/>
          <w:szCs w:val="24"/>
          <w:u w:val="single"/>
          <w:shd w:val="clear" w:color="auto" w:fill="FFFFFF"/>
          <w:lang w:val="en-US" w:eastAsia="zh-CN" w:bidi="ar"/>
        </w:rPr>
        <w:t>30</w:t>
      </w:r>
      <w:r>
        <w:rPr>
          <w:rFonts w:hint="eastAsia" w:ascii="宋体" w:hAnsi="宋体" w:cs="宋体"/>
          <w:b w:val="0"/>
          <w:bCs/>
          <w:i w:val="0"/>
          <w:caps w:val="0"/>
          <w:color w:val="auto"/>
          <w:spacing w:val="0"/>
          <w:kern w:val="0"/>
          <w:sz w:val="24"/>
          <w:szCs w:val="24"/>
          <w:u w:val="none"/>
          <w:shd w:val="clear" w:color="auto" w:fill="FFFFFF"/>
          <w:lang w:val="en-US" w:eastAsia="zh-CN" w:bidi="ar"/>
        </w:rPr>
        <w:t>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（北京时间）</w:t>
      </w:r>
    </w:p>
    <w:p w14:paraId="429F17EE">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地点：</w:t>
      </w:r>
      <w:r>
        <w:rPr>
          <w:rFonts w:hint="eastAsia" w:ascii="宋体" w:hAnsi="宋体"/>
          <w:color w:val="000000"/>
          <w:kern w:val="2"/>
          <w:sz w:val="24"/>
          <w:szCs w:val="24"/>
        </w:rPr>
        <w:t>红河州第二人民医院行政办公区</w:t>
      </w:r>
      <w:r>
        <w:rPr>
          <w:rFonts w:hint="eastAsia" w:ascii="宋体" w:hAnsi="宋体"/>
          <w:color w:val="000000"/>
          <w:kern w:val="2"/>
          <w:sz w:val="24"/>
          <w:szCs w:val="24"/>
          <w:lang w:val="en-US" w:eastAsia="zh-CN"/>
        </w:rPr>
        <w:t>小会议</w:t>
      </w:r>
      <w:r>
        <w:rPr>
          <w:rFonts w:hint="eastAsia" w:ascii="宋体" w:hAnsi="宋体"/>
          <w:color w:val="000000"/>
          <w:kern w:val="2"/>
          <w:sz w:val="24"/>
          <w:szCs w:val="24"/>
        </w:rPr>
        <w:t>室</w:t>
      </w:r>
    </w:p>
    <w:p w14:paraId="45C26275">
      <w:pPr>
        <w:bidi w:val="0"/>
        <w:rPr>
          <w:rFonts w:hint="eastAsia" w:ascii="宋体" w:hAnsi="宋体" w:eastAsia="宋体" w:cs="宋体"/>
          <w:b/>
          <w:bCs/>
          <w:sz w:val="28"/>
          <w:szCs w:val="28"/>
          <w:lang w:val="en-US" w:eastAsia="zh-CN"/>
        </w:rPr>
      </w:pPr>
      <w:bookmarkStart w:id="33" w:name="_Toc28359017"/>
      <w:bookmarkStart w:id="34" w:name="_Toc35393634"/>
      <w:bookmarkStart w:id="35" w:name="_Toc35393803"/>
      <w:bookmarkStart w:id="36" w:name="_Toc28359094"/>
      <w:r>
        <w:rPr>
          <w:rFonts w:hint="eastAsia" w:ascii="宋体" w:hAnsi="宋体" w:eastAsia="宋体" w:cs="宋体"/>
          <w:b/>
          <w:bCs/>
          <w:sz w:val="28"/>
          <w:szCs w:val="28"/>
          <w:lang w:val="en-US" w:eastAsia="zh-CN"/>
        </w:rPr>
        <w:t>7、公告期限</w:t>
      </w:r>
      <w:bookmarkEnd w:id="33"/>
      <w:bookmarkEnd w:id="34"/>
      <w:bookmarkEnd w:id="35"/>
      <w:bookmarkEnd w:id="36"/>
    </w:p>
    <w:p w14:paraId="4A9C2BBA">
      <w:pPr>
        <w:pageBreakBefore w:val="0"/>
        <w:kinsoku/>
        <w:wordWrap/>
        <w:overflowPunct/>
        <w:topLinePunct w:val="0"/>
        <w:bidi w:val="0"/>
        <w:snapToGrid/>
        <w:spacing w:line="312"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cs="宋体"/>
          <w:color w:val="auto"/>
          <w:kern w:val="0"/>
          <w:sz w:val="24"/>
          <w:szCs w:val="24"/>
          <w:highlight w:val="none"/>
          <w:lang w:eastAsia="zh-CN"/>
        </w:rPr>
        <w:t>自本公告发布生效之日起</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个工作日</w:t>
      </w:r>
      <w:r>
        <w:rPr>
          <w:rFonts w:hint="eastAsia" w:ascii="宋体" w:hAnsi="宋体" w:eastAsia="宋体" w:cs="宋体"/>
          <w:color w:val="auto"/>
          <w:kern w:val="0"/>
          <w:sz w:val="24"/>
          <w:szCs w:val="24"/>
          <w:highlight w:val="none"/>
        </w:rPr>
        <w:t>。</w:t>
      </w:r>
    </w:p>
    <w:p w14:paraId="4F312402">
      <w:pPr>
        <w:bidi w:val="0"/>
        <w:rPr>
          <w:rFonts w:hint="eastAsia" w:ascii="宋体" w:hAnsi="宋体" w:eastAsia="宋体" w:cs="宋体"/>
          <w:b/>
          <w:bCs/>
          <w:sz w:val="28"/>
          <w:szCs w:val="28"/>
          <w:lang w:val="en-US" w:eastAsia="zh-CN"/>
        </w:rPr>
      </w:pPr>
      <w:bookmarkStart w:id="37" w:name="_Toc35393635"/>
      <w:bookmarkStart w:id="38" w:name="_Toc35393804"/>
      <w:r>
        <w:rPr>
          <w:rFonts w:hint="eastAsia" w:ascii="宋体" w:hAnsi="宋体" w:eastAsia="宋体" w:cs="宋体"/>
          <w:b/>
          <w:bCs/>
          <w:sz w:val="28"/>
          <w:szCs w:val="28"/>
          <w:lang w:val="en-US" w:eastAsia="zh-CN"/>
        </w:rPr>
        <w:t>8、其他补充事宜</w:t>
      </w:r>
      <w:bookmarkEnd w:id="37"/>
      <w:bookmarkEnd w:id="38"/>
    </w:p>
    <w:p w14:paraId="3A5AB82A">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sz w:val="24"/>
          <w:szCs w:val="24"/>
          <w:highlight w:val="none"/>
          <w:u w:val="single"/>
          <w:lang w:val="en-US" w:eastAsia="zh-CN"/>
        </w:rPr>
        <w:t>本项目公告在</w:t>
      </w:r>
      <w:r>
        <w:rPr>
          <w:rFonts w:hint="eastAsia" w:ascii="宋体" w:hAnsi="宋体" w:cs="宋体"/>
          <w:sz w:val="24"/>
          <w:szCs w:val="24"/>
          <w:highlight w:val="none"/>
          <w:u w:val="single"/>
          <w:lang w:val="en-US" w:eastAsia="zh-CN"/>
        </w:rPr>
        <w:t>红河州</w:t>
      </w:r>
      <w:r>
        <w:rPr>
          <w:rFonts w:hint="eastAsia" w:ascii="宋体" w:hAnsi="宋体" w:cs="宋体"/>
          <w:color w:val="auto"/>
          <w:sz w:val="24"/>
          <w:szCs w:val="24"/>
          <w:highlight w:val="none"/>
          <w:u w:val="single"/>
          <w:lang w:val="en-US" w:eastAsia="zh-CN"/>
        </w:rPr>
        <w:t>第二人民医院官方网站</w:t>
      </w:r>
      <w:r>
        <w:rPr>
          <w:rFonts w:hint="eastAsia" w:ascii="宋体" w:hAnsi="宋体" w:eastAsia="宋体" w:cs="宋体"/>
          <w:color w:val="auto"/>
          <w:sz w:val="24"/>
          <w:szCs w:val="24"/>
          <w:highlight w:val="none"/>
          <w:u w:val="single"/>
          <w:lang w:val="en-US" w:eastAsia="zh-CN"/>
        </w:rPr>
        <w:t>上发布，采购人对其他网站或媒体转载的公告及公告内容不承担任何责任。</w:t>
      </w:r>
    </w:p>
    <w:p w14:paraId="7D092347">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宋体" w:hAnsi="宋体" w:eastAsia="宋体" w:cs="宋体"/>
          <w:i w:val="0"/>
          <w:iCs w:val="0"/>
          <w:color w:val="auto"/>
          <w:sz w:val="28"/>
          <w:szCs w:val="28"/>
          <w:highlight w:val="none"/>
          <w:lang w:val="en-US" w:eastAsia="zh-CN"/>
        </w:rPr>
      </w:pPr>
      <w:bookmarkStart w:id="39" w:name="_Toc35393805"/>
      <w:bookmarkStart w:id="40" w:name="_Toc28359018"/>
      <w:bookmarkStart w:id="41" w:name="_Toc28359095"/>
      <w:bookmarkStart w:id="42" w:name="_Toc35393636"/>
      <w:r>
        <w:rPr>
          <w:rFonts w:hint="eastAsia" w:ascii="宋体" w:hAnsi="宋体" w:eastAsia="宋体" w:cs="宋体"/>
          <w:b/>
          <w:bCs/>
          <w:sz w:val="28"/>
          <w:szCs w:val="28"/>
          <w:lang w:val="en-US" w:eastAsia="zh-CN"/>
        </w:rPr>
        <w:t>9、凡对本次采购提出询问，请按以下方式联系。</w:t>
      </w:r>
      <w:bookmarkEnd w:id="39"/>
      <w:bookmarkEnd w:id="40"/>
      <w:bookmarkEnd w:id="41"/>
      <w:bookmarkEnd w:id="42"/>
    </w:p>
    <w:p w14:paraId="7CEE3444">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bookmarkStart w:id="43" w:name="_Toc28359019"/>
      <w:bookmarkStart w:id="44" w:name="_Toc28359096"/>
      <w:bookmarkStart w:id="45" w:name="_Toc35393637"/>
      <w:bookmarkStart w:id="46" w:name="_Toc35393806"/>
      <w:r>
        <w:rPr>
          <w:rFonts w:hint="eastAsia" w:ascii="宋体" w:hAnsi="宋体" w:eastAsia="宋体" w:cs="宋体"/>
          <w:sz w:val="24"/>
          <w:szCs w:val="24"/>
          <w:lang w:val="en-US" w:eastAsia="zh-CN"/>
        </w:rPr>
        <w:t>9.1</w:t>
      </w:r>
      <w:r>
        <w:rPr>
          <w:rFonts w:hint="eastAsia" w:ascii="宋体" w:hAnsi="宋体" w:eastAsia="宋体" w:cs="宋体"/>
          <w:sz w:val="24"/>
          <w:szCs w:val="24"/>
        </w:rPr>
        <w:t>.采购人信息</w:t>
      </w:r>
      <w:bookmarkEnd w:id="43"/>
      <w:bookmarkEnd w:id="44"/>
      <w:bookmarkEnd w:id="45"/>
      <w:bookmarkEnd w:id="46"/>
    </w:p>
    <w:p w14:paraId="42E0A438">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名    称</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红河州第二人民医院</w:t>
      </w:r>
    </w:p>
    <w:p w14:paraId="4316621A">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en-US"/>
        </w:rPr>
      </w:pPr>
      <w:r>
        <w:rPr>
          <w:rFonts w:hint="eastAsia" w:ascii="宋体" w:hAnsi="宋体" w:eastAsia="宋体" w:cs="宋体"/>
          <w:sz w:val="24"/>
          <w:szCs w:val="24"/>
        </w:rPr>
        <w:t>地    址</w:t>
      </w:r>
      <w:r>
        <w:rPr>
          <w:rFonts w:hint="eastAsia" w:ascii="宋体" w:hAnsi="宋体" w:eastAsia="宋体" w:cs="宋体"/>
          <w:sz w:val="24"/>
          <w:szCs w:val="24"/>
          <w:lang w:eastAsia="zh-CN"/>
        </w:rPr>
        <w:t>：建水县临安镇泽园路</w:t>
      </w:r>
      <w:r>
        <w:rPr>
          <w:rFonts w:hint="eastAsia" w:ascii="宋体" w:hAnsi="宋体" w:eastAsia="宋体" w:cs="宋体"/>
          <w:sz w:val="24"/>
          <w:szCs w:val="24"/>
          <w:lang w:val="en-US" w:eastAsia="zh-CN"/>
        </w:rPr>
        <w:t>28号</w:t>
      </w:r>
    </w:p>
    <w:p w14:paraId="1AA015BD">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rPr>
      </w:pPr>
      <w:bookmarkStart w:id="47" w:name="_Toc35393639"/>
      <w:bookmarkStart w:id="48" w:name="_Toc28359098"/>
      <w:bookmarkStart w:id="49" w:name="_Toc35393808"/>
      <w:bookmarkStart w:id="50" w:name="_Toc28359021"/>
      <w:r>
        <w:rPr>
          <w:rFonts w:hint="eastAsia" w:ascii="宋体" w:hAnsi="宋体" w:eastAsia="宋体" w:cs="宋体"/>
          <w:sz w:val="24"/>
          <w:szCs w:val="24"/>
          <w:lang w:val="en-US" w:eastAsia="zh-CN"/>
        </w:rPr>
        <w:t>9.2.</w:t>
      </w:r>
      <w:r>
        <w:rPr>
          <w:rFonts w:hint="eastAsia" w:ascii="宋体" w:hAnsi="宋体" w:eastAsia="宋体" w:cs="宋体"/>
          <w:sz w:val="24"/>
          <w:szCs w:val="24"/>
        </w:rPr>
        <w:t>项目联系方式</w:t>
      </w:r>
      <w:bookmarkEnd w:id="47"/>
      <w:bookmarkEnd w:id="48"/>
      <w:bookmarkEnd w:id="49"/>
      <w:bookmarkEnd w:id="50"/>
    </w:p>
    <w:p w14:paraId="25EA5141">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ascii="宋体" w:hAnsi="宋体" w:eastAsia="宋体" w:cs="宋体"/>
          <w:sz w:val="24"/>
          <w:szCs w:val="24"/>
          <w:lang w:eastAsia="zh-CN"/>
        </w:rPr>
        <w:t>李文昌</w:t>
      </w:r>
    </w:p>
    <w:p w14:paraId="3E7E7D43">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电　　 话：</w:t>
      </w:r>
      <w:r>
        <w:rPr>
          <w:rFonts w:hint="eastAsia" w:ascii="宋体" w:hAnsi="宋体" w:eastAsia="宋体" w:cs="宋体"/>
          <w:sz w:val="24"/>
          <w:szCs w:val="24"/>
          <w:lang w:val="en-US" w:eastAsia="zh-CN"/>
        </w:rPr>
        <w:t>0873-7781496</w:t>
      </w:r>
    </w:p>
    <w:p w14:paraId="46CDF2BB">
      <w:pPr>
        <w:rPr>
          <w:rFonts w:ascii="宋体" w:hAnsi="宋体" w:cs="宋体"/>
          <w:i w:val="0"/>
          <w:iCs w:val="0"/>
          <w:color w:val="auto"/>
          <w:highlight w:val="none"/>
        </w:rPr>
      </w:pPr>
      <w:r>
        <w:rPr>
          <w:rFonts w:ascii="宋体" w:hAnsi="宋体" w:cs="宋体"/>
          <w:i w:val="0"/>
          <w:iCs w:val="0"/>
          <w:color w:val="auto"/>
          <w:highlight w:val="none"/>
        </w:rPr>
        <w:br w:type="page"/>
      </w:r>
    </w:p>
    <w:p w14:paraId="16F7F55A">
      <w:pPr>
        <w:pStyle w:val="33"/>
      </w:pPr>
    </w:p>
    <w:p w14:paraId="618A1E2D">
      <w:pPr>
        <w:pStyle w:val="2"/>
        <w:spacing w:before="0" w:after="0" w:line="360" w:lineRule="auto"/>
        <w:jc w:val="center"/>
        <w:rPr>
          <w:rFonts w:ascii="宋体" w:hAnsi="宋体" w:cs="宋体"/>
          <w:i w:val="0"/>
          <w:iCs w:val="0"/>
          <w:color w:val="auto"/>
          <w:highlight w:val="none"/>
        </w:rPr>
      </w:pPr>
      <w:bookmarkStart w:id="51" w:name="_Toc5257"/>
      <w:r>
        <w:rPr>
          <w:rFonts w:hint="eastAsia" w:ascii="宋体" w:hAnsi="宋体" w:cs="宋体"/>
          <w:i w:val="0"/>
          <w:iCs w:val="0"/>
          <w:color w:val="auto"/>
          <w:highlight w:val="none"/>
        </w:rPr>
        <w:t>第二章 投标人须知</w:t>
      </w:r>
      <w:bookmarkEnd w:id="28"/>
      <w:bookmarkEnd w:id="51"/>
    </w:p>
    <w:p w14:paraId="3B31FEE5">
      <w:pPr>
        <w:bidi w:val="0"/>
        <w:jc w:val="center"/>
        <w:rPr>
          <w:b/>
          <w:bCs/>
          <w:sz w:val="28"/>
          <w:szCs w:val="28"/>
        </w:rPr>
      </w:pPr>
      <w:bookmarkStart w:id="52" w:name="_Toc21714"/>
      <w:bookmarkEnd w:id="52"/>
      <w:bookmarkStart w:id="53" w:name="_Toc13590"/>
      <w:bookmarkEnd w:id="53"/>
      <w:bookmarkStart w:id="54" w:name="_Toc30910"/>
      <w:bookmarkStart w:id="55" w:name="_Toc29441"/>
      <w:bookmarkStart w:id="56" w:name="_Toc26144"/>
      <w:r>
        <w:rPr>
          <w:rFonts w:hint="eastAsia"/>
          <w:b/>
          <w:bCs/>
          <w:sz w:val="28"/>
          <w:szCs w:val="28"/>
        </w:rPr>
        <w:t>投标人须知前附表</w:t>
      </w:r>
      <w:bookmarkEnd w:id="54"/>
      <w:bookmarkEnd w:id="55"/>
      <w:bookmarkEnd w:id="56"/>
    </w:p>
    <w:p w14:paraId="617BDBDE">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tbl>
      <w:tblPr>
        <w:tblStyle w:val="34"/>
        <w:tblW w:w="9882" w:type="dxa"/>
        <w:jc w:val="center"/>
        <w:tblLayout w:type="fixed"/>
        <w:tblCellMar>
          <w:top w:w="0" w:type="dxa"/>
          <w:left w:w="0" w:type="dxa"/>
          <w:bottom w:w="0" w:type="dxa"/>
          <w:right w:w="0" w:type="dxa"/>
        </w:tblCellMar>
      </w:tblPr>
      <w:tblGrid>
        <w:gridCol w:w="1059"/>
        <w:gridCol w:w="2024"/>
        <w:gridCol w:w="6799"/>
      </w:tblGrid>
      <w:tr w14:paraId="7199F680">
        <w:tblPrEx>
          <w:tblCellMar>
            <w:top w:w="0" w:type="dxa"/>
            <w:left w:w="0" w:type="dxa"/>
            <w:bottom w:w="0" w:type="dxa"/>
            <w:right w:w="0" w:type="dxa"/>
          </w:tblCellMar>
        </w:tblPrEx>
        <w:trPr>
          <w:trHeight w:val="397" w:hRule="atLeast"/>
          <w:tblHeader/>
          <w:jc w:val="center"/>
        </w:trPr>
        <w:tc>
          <w:tcPr>
            <w:tcW w:w="1059" w:type="dxa"/>
            <w:tcBorders>
              <w:top w:val="single" w:color="auto" w:sz="8" w:space="0"/>
              <w:left w:val="single" w:color="auto" w:sz="8" w:space="0"/>
              <w:bottom w:val="single" w:color="auto" w:sz="8" w:space="0"/>
              <w:right w:val="single" w:color="auto" w:sz="8" w:space="0"/>
            </w:tcBorders>
            <w:vAlign w:val="center"/>
          </w:tcPr>
          <w:p w14:paraId="215DA7B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条款号</w:t>
            </w:r>
          </w:p>
        </w:tc>
        <w:tc>
          <w:tcPr>
            <w:tcW w:w="2024" w:type="dxa"/>
            <w:tcBorders>
              <w:top w:val="single" w:color="auto" w:sz="8" w:space="0"/>
              <w:left w:val="nil"/>
              <w:bottom w:val="single" w:color="auto" w:sz="8" w:space="0"/>
              <w:right w:val="single" w:color="auto" w:sz="8" w:space="0"/>
            </w:tcBorders>
            <w:vAlign w:val="bottom"/>
          </w:tcPr>
          <w:p w14:paraId="0DE3AB0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条 款 名 称</w:t>
            </w:r>
          </w:p>
        </w:tc>
        <w:tc>
          <w:tcPr>
            <w:tcW w:w="6799" w:type="dxa"/>
            <w:tcBorders>
              <w:top w:val="single" w:color="auto" w:sz="8" w:space="0"/>
              <w:left w:val="nil"/>
              <w:bottom w:val="single" w:color="auto" w:sz="8" w:space="0"/>
              <w:right w:val="single" w:color="auto" w:sz="8" w:space="0"/>
            </w:tcBorders>
            <w:vAlign w:val="bottom"/>
          </w:tcPr>
          <w:p w14:paraId="545A6B6A">
            <w:pPr>
              <w:spacing w:line="42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编 列 内 容</w:t>
            </w:r>
          </w:p>
        </w:tc>
      </w:tr>
      <w:tr w14:paraId="0EB6829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770690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1.1.2</w:t>
            </w:r>
          </w:p>
        </w:tc>
        <w:tc>
          <w:tcPr>
            <w:tcW w:w="2024" w:type="dxa"/>
            <w:tcBorders>
              <w:top w:val="single" w:color="auto" w:sz="8" w:space="0"/>
              <w:left w:val="nil"/>
              <w:bottom w:val="single" w:color="auto" w:sz="8" w:space="0"/>
              <w:right w:val="single" w:color="auto" w:sz="8" w:space="0"/>
            </w:tcBorders>
            <w:vAlign w:val="center"/>
          </w:tcPr>
          <w:p w14:paraId="2F2BF95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招标人</w:t>
            </w:r>
          </w:p>
        </w:tc>
        <w:tc>
          <w:tcPr>
            <w:tcW w:w="6799" w:type="dxa"/>
            <w:tcBorders>
              <w:top w:val="single" w:color="auto" w:sz="8" w:space="0"/>
              <w:left w:val="nil"/>
              <w:bottom w:val="single" w:color="auto" w:sz="8" w:space="0"/>
              <w:right w:val="single" w:color="auto" w:sz="8" w:space="0"/>
            </w:tcBorders>
            <w:vAlign w:val="center"/>
          </w:tcPr>
          <w:p w14:paraId="744F6750">
            <w:pPr>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rPr>
              <w:t>名称：</w:t>
            </w:r>
            <w:r>
              <w:rPr>
                <w:rFonts w:hint="eastAsia" w:ascii="宋体" w:hAnsi="宋体" w:cs="宋体"/>
                <w:i w:val="0"/>
                <w:iCs w:val="0"/>
                <w:color w:val="auto"/>
                <w:kern w:val="2"/>
                <w:sz w:val="24"/>
                <w:szCs w:val="24"/>
                <w:highlight w:val="none"/>
                <w:lang w:eastAsia="zh-CN"/>
              </w:rPr>
              <w:t>红河州第二人民医院</w:t>
            </w:r>
          </w:p>
          <w:p w14:paraId="2D212ED4">
            <w:pPr>
              <w:spacing w:line="420" w:lineRule="exact"/>
              <w:rPr>
                <w:rFonts w:hint="eastAsia"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地址：建水县泽园路28号</w:t>
            </w:r>
          </w:p>
          <w:p w14:paraId="0CED6DB8">
            <w:pPr>
              <w:spacing w:line="420" w:lineRule="exact"/>
              <w:rPr>
                <w:rFonts w:hint="eastAsia"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 xml:space="preserve">联系人：李文昌 </w:t>
            </w:r>
          </w:p>
          <w:p w14:paraId="4440C94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联系电话：（0873）7</w:t>
            </w:r>
            <w:r>
              <w:rPr>
                <w:rFonts w:hint="eastAsia" w:ascii="宋体" w:hAnsi="宋体" w:cs="宋体"/>
                <w:i w:val="0"/>
                <w:iCs w:val="0"/>
                <w:color w:val="auto"/>
                <w:kern w:val="2"/>
                <w:sz w:val="24"/>
                <w:szCs w:val="24"/>
                <w:highlight w:val="none"/>
                <w:lang w:val="en-US" w:eastAsia="zh-CN"/>
              </w:rPr>
              <w:t>781496</w:t>
            </w:r>
          </w:p>
        </w:tc>
      </w:tr>
      <w:tr w14:paraId="49AC620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C81571D">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1.1.4</w:t>
            </w:r>
          </w:p>
        </w:tc>
        <w:tc>
          <w:tcPr>
            <w:tcW w:w="2024" w:type="dxa"/>
            <w:tcBorders>
              <w:top w:val="single" w:color="auto" w:sz="8" w:space="0"/>
              <w:left w:val="nil"/>
              <w:bottom w:val="single" w:color="auto" w:sz="8" w:space="0"/>
              <w:right w:val="single" w:color="auto" w:sz="8" w:space="0"/>
            </w:tcBorders>
            <w:vAlign w:val="center"/>
          </w:tcPr>
          <w:p w14:paraId="0F045C4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招标项目名称</w:t>
            </w:r>
          </w:p>
        </w:tc>
        <w:tc>
          <w:tcPr>
            <w:tcW w:w="6799" w:type="dxa"/>
            <w:tcBorders>
              <w:top w:val="single" w:color="auto" w:sz="8" w:space="0"/>
              <w:left w:val="nil"/>
              <w:bottom w:val="single" w:color="auto" w:sz="8" w:space="0"/>
              <w:right w:val="single" w:color="auto" w:sz="8" w:space="0"/>
            </w:tcBorders>
            <w:vAlign w:val="bottom"/>
          </w:tcPr>
          <w:p w14:paraId="745C0AF5">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lang w:eastAsia="zh-CN"/>
              </w:rPr>
              <w:t>红河州第二人民医院经颅磁刺激仪采购</w:t>
            </w:r>
          </w:p>
        </w:tc>
      </w:tr>
      <w:tr w14:paraId="3BEDE61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525613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1.2</w:t>
            </w:r>
          </w:p>
        </w:tc>
        <w:tc>
          <w:tcPr>
            <w:tcW w:w="2024" w:type="dxa"/>
            <w:tcBorders>
              <w:top w:val="single" w:color="auto" w:sz="8" w:space="0"/>
              <w:left w:val="nil"/>
              <w:bottom w:val="single" w:color="auto" w:sz="8" w:space="0"/>
              <w:right w:val="single" w:color="auto" w:sz="8" w:space="0"/>
            </w:tcBorders>
            <w:vAlign w:val="center"/>
          </w:tcPr>
          <w:p w14:paraId="4274CD8A">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资金落实情况</w:t>
            </w:r>
          </w:p>
        </w:tc>
        <w:tc>
          <w:tcPr>
            <w:tcW w:w="6799" w:type="dxa"/>
            <w:tcBorders>
              <w:top w:val="single" w:color="auto" w:sz="8" w:space="0"/>
              <w:left w:val="nil"/>
              <w:bottom w:val="single" w:color="auto" w:sz="8" w:space="0"/>
              <w:right w:val="single" w:color="auto" w:sz="8" w:space="0"/>
            </w:tcBorders>
            <w:vAlign w:val="bottom"/>
          </w:tcPr>
          <w:p w14:paraId="3E62A9C3">
            <w:pPr>
              <w:spacing w:line="420" w:lineRule="exact"/>
              <w:rPr>
                <w:rFonts w:hint="eastAsia"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u w:val="none"/>
              </w:rPr>
              <w:t>已落实</w:t>
            </w:r>
            <w:r>
              <w:rPr>
                <w:rFonts w:hint="eastAsia" w:ascii="宋体" w:hAnsi="宋体" w:cs="宋体"/>
                <w:i w:val="0"/>
                <w:iCs w:val="0"/>
                <w:color w:val="auto"/>
                <w:kern w:val="2"/>
                <w:sz w:val="24"/>
                <w:szCs w:val="24"/>
                <w:highlight w:val="none"/>
                <w:u w:val="none"/>
                <w:lang w:eastAsia="zh-CN"/>
              </w:rPr>
              <w:t>（上级专款）</w:t>
            </w:r>
          </w:p>
        </w:tc>
      </w:tr>
      <w:tr w14:paraId="0E64B319">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127FC3A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1.3.1</w:t>
            </w:r>
          </w:p>
        </w:tc>
        <w:tc>
          <w:tcPr>
            <w:tcW w:w="2024" w:type="dxa"/>
            <w:tcBorders>
              <w:top w:val="single" w:color="auto" w:sz="8" w:space="0"/>
              <w:left w:val="nil"/>
              <w:bottom w:val="single" w:color="auto" w:sz="8" w:space="0"/>
              <w:right w:val="single" w:color="auto" w:sz="8" w:space="0"/>
            </w:tcBorders>
            <w:vAlign w:val="center"/>
          </w:tcPr>
          <w:p w14:paraId="5FD22C2A">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招标内容</w:t>
            </w:r>
          </w:p>
        </w:tc>
        <w:tc>
          <w:tcPr>
            <w:tcW w:w="6799" w:type="dxa"/>
            <w:tcBorders>
              <w:top w:val="single" w:color="auto" w:sz="8" w:space="0"/>
              <w:left w:val="nil"/>
              <w:bottom w:val="single" w:color="auto" w:sz="8" w:space="0"/>
              <w:right w:val="single" w:color="auto" w:sz="8" w:space="0"/>
            </w:tcBorders>
            <w:vAlign w:val="center"/>
          </w:tcPr>
          <w:p w14:paraId="02B6F29E">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详见第五章“</w:t>
            </w:r>
            <w:r>
              <w:rPr>
                <w:rFonts w:hint="eastAsia" w:ascii="宋体" w:hAnsi="宋体" w:cs="宋体"/>
                <w:i w:val="0"/>
                <w:iCs w:val="0"/>
                <w:color w:val="auto"/>
                <w:kern w:val="2"/>
                <w:sz w:val="24"/>
                <w:szCs w:val="24"/>
                <w:highlight w:val="none"/>
                <w:lang w:eastAsia="zh-CN"/>
              </w:rPr>
              <w:t>采购内容及要求</w:t>
            </w:r>
            <w:r>
              <w:rPr>
                <w:rFonts w:hint="eastAsia" w:ascii="宋体" w:hAnsi="宋体" w:cs="宋体"/>
                <w:i w:val="0"/>
                <w:iCs w:val="0"/>
                <w:color w:val="auto"/>
                <w:kern w:val="2"/>
                <w:sz w:val="24"/>
                <w:szCs w:val="24"/>
                <w:highlight w:val="none"/>
              </w:rPr>
              <w:t>”</w:t>
            </w:r>
          </w:p>
        </w:tc>
      </w:tr>
      <w:tr w14:paraId="6734585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CE0DA0F">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1.3.2</w:t>
            </w:r>
          </w:p>
        </w:tc>
        <w:tc>
          <w:tcPr>
            <w:tcW w:w="2024" w:type="dxa"/>
            <w:tcBorders>
              <w:top w:val="single" w:color="auto" w:sz="8" w:space="0"/>
              <w:left w:val="nil"/>
              <w:bottom w:val="single" w:color="auto" w:sz="8" w:space="0"/>
              <w:right w:val="single" w:color="auto" w:sz="8" w:space="0"/>
            </w:tcBorders>
            <w:vAlign w:val="center"/>
          </w:tcPr>
          <w:p w14:paraId="66ACCF51">
            <w:pPr>
              <w:spacing w:line="420" w:lineRule="exact"/>
              <w:jc w:val="both"/>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交货期</w:t>
            </w:r>
          </w:p>
        </w:tc>
        <w:tc>
          <w:tcPr>
            <w:tcW w:w="6799" w:type="dxa"/>
            <w:tcBorders>
              <w:top w:val="single" w:color="auto" w:sz="8" w:space="0"/>
              <w:left w:val="nil"/>
              <w:bottom w:val="single" w:color="auto" w:sz="8" w:space="0"/>
              <w:right w:val="single" w:color="auto" w:sz="8" w:space="0"/>
            </w:tcBorders>
            <w:vAlign w:val="center"/>
          </w:tcPr>
          <w:p w14:paraId="70B97E29">
            <w:pPr>
              <w:spacing w:line="420" w:lineRule="exact"/>
              <w:jc w:val="both"/>
              <w:rPr>
                <w:rFonts w:hint="default"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sz w:val="24"/>
                <w:highlight w:val="none"/>
                <w:lang w:val="en-US" w:eastAsia="zh-CN"/>
              </w:rPr>
              <w:t>30个日历天</w:t>
            </w:r>
          </w:p>
        </w:tc>
      </w:tr>
      <w:tr w14:paraId="7E43EA5E">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97B323C">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1.3.3</w:t>
            </w:r>
          </w:p>
        </w:tc>
        <w:tc>
          <w:tcPr>
            <w:tcW w:w="2024" w:type="dxa"/>
            <w:tcBorders>
              <w:top w:val="single" w:color="auto" w:sz="8" w:space="0"/>
              <w:left w:val="nil"/>
              <w:bottom w:val="single" w:color="auto" w:sz="8" w:space="0"/>
              <w:right w:val="single" w:color="auto" w:sz="8" w:space="0"/>
            </w:tcBorders>
            <w:vAlign w:val="center"/>
          </w:tcPr>
          <w:p w14:paraId="2AC1A0BC">
            <w:pPr>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交货地点</w:t>
            </w:r>
          </w:p>
        </w:tc>
        <w:tc>
          <w:tcPr>
            <w:tcW w:w="6799" w:type="dxa"/>
            <w:tcBorders>
              <w:top w:val="single" w:color="auto" w:sz="8" w:space="0"/>
              <w:left w:val="nil"/>
              <w:bottom w:val="single" w:color="auto" w:sz="8" w:space="0"/>
              <w:right w:val="single" w:color="auto" w:sz="8" w:space="0"/>
            </w:tcBorders>
            <w:vAlign w:val="center"/>
          </w:tcPr>
          <w:p w14:paraId="5DA75A1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tc>
      </w:tr>
      <w:tr w14:paraId="4905E68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5A8E2AC">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1.4.1</w:t>
            </w:r>
          </w:p>
        </w:tc>
        <w:tc>
          <w:tcPr>
            <w:tcW w:w="2024" w:type="dxa"/>
            <w:tcBorders>
              <w:top w:val="single" w:color="auto" w:sz="8" w:space="0"/>
              <w:left w:val="nil"/>
              <w:bottom w:val="single" w:color="auto" w:sz="8" w:space="0"/>
              <w:right w:val="single" w:color="auto" w:sz="8" w:space="0"/>
            </w:tcBorders>
            <w:vAlign w:val="center"/>
          </w:tcPr>
          <w:p w14:paraId="410D234B">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投标人资格要求</w:t>
            </w:r>
          </w:p>
        </w:tc>
        <w:tc>
          <w:tcPr>
            <w:tcW w:w="6799" w:type="dxa"/>
            <w:tcBorders>
              <w:top w:val="single" w:color="auto" w:sz="8" w:space="0"/>
              <w:left w:val="nil"/>
              <w:bottom w:val="single" w:color="auto" w:sz="8" w:space="0"/>
              <w:right w:val="single" w:color="auto" w:sz="8" w:space="0"/>
            </w:tcBorders>
            <w:vAlign w:val="center"/>
          </w:tcPr>
          <w:p w14:paraId="7982ABB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详见第一章“</w:t>
            </w:r>
            <w:r>
              <w:rPr>
                <w:rFonts w:hint="eastAsia" w:ascii="宋体" w:hAnsi="宋体" w:cs="宋体"/>
                <w:i w:val="0"/>
                <w:iCs w:val="0"/>
                <w:color w:val="auto"/>
                <w:kern w:val="2"/>
                <w:sz w:val="24"/>
                <w:szCs w:val="24"/>
                <w:highlight w:val="none"/>
                <w:lang w:eastAsia="zh-CN"/>
              </w:rPr>
              <w:t>招标公告</w:t>
            </w:r>
            <w:r>
              <w:rPr>
                <w:rFonts w:hint="eastAsia" w:ascii="宋体" w:hAnsi="宋体" w:cs="宋体"/>
                <w:i w:val="0"/>
                <w:iCs w:val="0"/>
                <w:color w:val="auto"/>
                <w:kern w:val="2"/>
                <w:sz w:val="24"/>
                <w:szCs w:val="24"/>
                <w:highlight w:val="none"/>
              </w:rPr>
              <w:t>3.投标人资格要求”</w:t>
            </w:r>
          </w:p>
        </w:tc>
      </w:tr>
      <w:tr w14:paraId="408D5F52">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6055E04">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1.4.2</w:t>
            </w:r>
          </w:p>
        </w:tc>
        <w:tc>
          <w:tcPr>
            <w:tcW w:w="2024" w:type="dxa"/>
            <w:tcBorders>
              <w:top w:val="single" w:color="auto" w:sz="8" w:space="0"/>
              <w:left w:val="nil"/>
              <w:bottom w:val="single" w:color="auto" w:sz="8" w:space="0"/>
              <w:right w:val="single" w:color="auto" w:sz="8" w:space="0"/>
            </w:tcBorders>
            <w:vAlign w:val="center"/>
          </w:tcPr>
          <w:p w14:paraId="16313AB2">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是否接受联合体投标</w:t>
            </w:r>
          </w:p>
        </w:tc>
        <w:tc>
          <w:tcPr>
            <w:tcW w:w="6799" w:type="dxa"/>
            <w:tcBorders>
              <w:top w:val="single" w:color="auto" w:sz="8" w:space="0"/>
              <w:left w:val="nil"/>
              <w:bottom w:val="single" w:color="auto" w:sz="8" w:space="0"/>
              <w:right w:val="single" w:color="auto" w:sz="8" w:space="0"/>
            </w:tcBorders>
            <w:vAlign w:val="bottom"/>
          </w:tcPr>
          <w:p w14:paraId="57A56DA0">
            <w:pPr>
              <w:spacing w:line="42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sym w:font="Wingdings 2" w:char="0052"/>
            </w:r>
            <w:r>
              <w:rPr>
                <w:rFonts w:hint="eastAsia" w:ascii="宋体" w:hAnsi="宋体" w:cs="宋体"/>
                <w:i w:val="0"/>
                <w:iCs w:val="0"/>
                <w:color w:val="auto"/>
                <w:sz w:val="24"/>
                <w:szCs w:val="24"/>
                <w:highlight w:val="none"/>
              </w:rPr>
              <w:t>不接受</w:t>
            </w:r>
          </w:p>
          <w:p w14:paraId="0BF2A6EB">
            <w:pPr>
              <w:spacing w:line="42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rPr>
              <w:t>接受，应满足下列要求：</w:t>
            </w:r>
          </w:p>
          <w:p w14:paraId="71D4B635">
            <w:pPr>
              <w:spacing w:line="420" w:lineRule="exact"/>
              <w:ind w:firstLine="482" w:firstLineChars="200"/>
              <w:rPr>
                <w:rFonts w:ascii="宋体" w:hAnsi="宋体" w:cs="宋体"/>
                <w:i w:val="0"/>
                <w:iCs w:val="0"/>
                <w:color w:val="auto"/>
                <w:sz w:val="24"/>
                <w:szCs w:val="24"/>
                <w:highlight w:val="none"/>
              </w:rPr>
            </w:pPr>
            <w:r>
              <w:rPr>
                <w:rFonts w:hint="eastAsia" w:ascii="宋体" w:hAnsi="宋体" w:cs="宋体"/>
                <w:b/>
                <w:bCs/>
                <w:i w:val="0"/>
                <w:iCs w:val="0"/>
                <w:color w:val="auto"/>
                <w:sz w:val="24"/>
                <w:szCs w:val="24"/>
                <w:highlight w:val="none"/>
              </w:rPr>
              <w:t>信用要求：</w:t>
            </w:r>
            <w:r>
              <w:rPr>
                <w:rFonts w:hint="eastAsia" w:ascii="宋体" w:hAnsi="宋体" w:cs="宋体"/>
                <w:i w:val="0"/>
                <w:iCs w:val="0"/>
                <w:color w:val="auto"/>
                <w:sz w:val="24"/>
                <w:szCs w:val="24"/>
                <w:highlight w:val="none"/>
              </w:rPr>
              <w:t>两个以上的自然人、法人或者其他组织组成一个联合体，以一个投标人的身份共同参加投标的，应当对所有联合体成员进行信用记录查询，联合体成员存在不良信用记录的，视同联合体存在不良信用记录。</w:t>
            </w:r>
          </w:p>
          <w:p w14:paraId="7D717291">
            <w:pPr>
              <w:spacing w:line="420" w:lineRule="exact"/>
              <w:ind w:firstLine="482" w:firstLineChars="200"/>
              <w:rPr>
                <w:rFonts w:ascii="宋体" w:hAnsi="宋体" w:cs="宋体"/>
                <w:i w:val="0"/>
                <w:iCs w:val="0"/>
                <w:color w:val="auto"/>
                <w:kern w:val="2"/>
                <w:sz w:val="24"/>
                <w:szCs w:val="24"/>
                <w:highlight w:val="none"/>
              </w:rPr>
            </w:pPr>
            <w:r>
              <w:rPr>
                <w:rFonts w:hint="eastAsia" w:ascii="宋体" w:hAnsi="宋体" w:cs="宋体"/>
                <w:b/>
                <w:bCs/>
                <w:i w:val="0"/>
                <w:iCs w:val="0"/>
                <w:color w:val="auto"/>
                <w:sz w:val="24"/>
                <w:szCs w:val="24"/>
                <w:highlight w:val="none"/>
              </w:rPr>
              <w:t>其他要求：</w:t>
            </w:r>
            <w:r>
              <w:rPr>
                <w:rFonts w:hint="eastAsia" w:ascii="宋体" w:hAnsi="宋体" w:cs="宋体"/>
                <w:i w:val="0"/>
                <w:iCs w:val="0"/>
                <w:color w:val="auto"/>
                <w:sz w:val="24"/>
                <w:szCs w:val="24"/>
                <w:highlight w:val="none"/>
              </w:rPr>
              <w:t xml:space="preserve"> </w:t>
            </w:r>
            <w:r>
              <w:rPr>
                <w:rFonts w:hint="eastAsia" w:ascii="宋体" w:hAnsi="宋体" w:cs="宋体"/>
                <w:i w:val="0"/>
                <w:iCs w:val="0"/>
                <w:color w:val="auto"/>
                <w:sz w:val="24"/>
                <w:szCs w:val="24"/>
                <w:highlight w:val="none"/>
                <w:u w:val="single"/>
              </w:rPr>
              <w:t>接受联合体投标的，请提供联合体协议书</w:t>
            </w:r>
            <w:r>
              <w:rPr>
                <w:rFonts w:hint="eastAsia" w:ascii="宋体" w:hAnsi="宋体" w:cs="宋体"/>
                <w:i w:val="0"/>
                <w:iCs w:val="0"/>
                <w:color w:val="auto"/>
                <w:sz w:val="24"/>
                <w:szCs w:val="24"/>
                <w:highlight w:val="none"/>
              </w:rPr>
              <w:t>。</w:t>
            </w:r>
          </w:p>
        </w:tc>
      </w:tr>
      <w:tr w14:paraId="245AEC6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FC1EA33">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1.9.1</w:t>
            </w:r>
          </w:p>
        </w:tc>
        <w:tc>
          <w:tcPr>
            <w:tcW w:w="2024" w:type="dxa"/>
            <w:tcBorders>
              <w:top w:val="single" w:color="auto" w:sz="8" w:space="0"/>
              <w:left w:val="nil"/>
              <w:bottom w:val="single" w:color="auto" w:sz="8" w:space="0"/>
              <w:right w:val="single" w:color="auto" w:sz="8" w:space="0"/>
            </w:tcBorders>
            <w:vAlign w:val="center"/>
          </w:tcPr>
          <w:p w14:paraId="04140180">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现场考察</w:t>
            </w:r>
          </w:p>
        </w:tc>
        <w:tc>
          <w:tcPr>
            <w:tcW w:w="6799" w:type="dxa"/>
            <w:tcBorders>
              <w:top w:val="single" w:color="auto" w:sz="8" w:space="0"/>
              <w:left w:val="nil"/>
              <w:bottom w:val="single" w:color="auto" w:sz="8" w:space="0"/>
              <w:right w:val="single" w:color="auto" w:sz="8" w:space="0"/>
            </w:tcBorders>
            <w:vAlign w:val="center"/>
          </w:tcPr>
          <w:p w14:paraId="7E043F9D">
            <w:pPr>
              <w:pStyle w:val="11"/>
              <w:topLinePunct/>
              <w:spacing w:line="420" w:lineRule="exact"/>
              <w:rPr>
                <w:rFonts w:ascii="宋体" w:hAnsi="宋体" w:cs="宋体"/>
                <w:i w:val="0"/>
                <w:iCs w:val="0"/>
                <w:color w:val="auto"/>
                <w:kern w:val="2"/>
                <w:sz w:val="24"/>
                <w:szCs w:val="24"/>
                <w:highlight w:val="none"/>
              </w:rPr>
            </w:pPr>
            <w:r>
              <w:rPr>
                <w:rFonts w:hint="eastAsia" w:hAnsi="宋体" w:cs="宋体"/>
                <w:i w:val="0"/>
                <w:iCs w:val="0"/>
                <w:color w:val="auto"/>
                <w:kern w:val="2"/>
                <w:highlight w:val="none"/>
              </w:rPr>
              <w:t>不组织</w:t>
            </w:r>
          </w:p>
        </w:tc>
      </w:tr>
      <w:tr w14:paraId="31B3100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1F994C5E">
            <w:pPr>
              <w:spacing w:line="420" w:lineRule="exact"/>
              <w:jc w:val="center"/>
              <w:rPr>
                <w:rFonts w:ascii="宋体" w:hAnsi="宋体" w:cs="宋体"/>
                <w:i w:val="0"/>
                <w:iCs w:val="0"/>
                <w:color w:val="auto"/>
                <w:kern w:val="2"/>
                <w:sz w:val="24"/>
                <w:szCs w:val="24"/>
                <w:highlight w:val="none"/>
              </w:rPr>
            </w:pPr>
            <w:bookmarkStart w:id="57" w:name="page17"/>
            <w:bookmarkEnd w:id="57"/>
            <w:r>
              <w:rPr>
                <w:rFonts w:hint="eastAsia" w:ascii="宋体" w:hAnsi="宋体" w:cs="宋体"/>
                <w:i w:val="0"/>
                <w:iCs w:val="0"/>
                <w:color w:val="auto"/>
                <w:kern w:val="2"/>
                <w:sz w:val="24"/>
                <w:szCs w:val="24"/>
                <w:highlight w:val="none"/>
              </w:rPr>
              <w:t>2.1</w:t>
            </w:r>
          </w:p>
        </w:tc>
        <w:tc>
          <w:tcPr>
            <w:tcW w:w="2024" w:type="dxa"/>
            <w:tcBorders>
              <w:top w:val="single" w:color="auto" w:sz="8" w:space="0"/>
              <w:left w:val="nil"/>
              <w:bottom w:val="single" w:color="auto" w:sz="8" w:space="0"/>
              <w:right w:val="single" w:color="auto" w:sz="8" w:space="0"/>
            </w:tcBorders>
            <w:vAlign w:val="center"/>
          </w:tcPr>
          <w:p w14:paraId="40D038DE">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构成</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的其他资料</w:t>
            </w:r>
          </w:p>
        </w:tc>
        <w:tc>
          <w:tcPr>
            <w:tcW w:w="6799" w:type="dxa"/>
            <w:tcBorders>
              <w:top w:val="single" w:color="auto" w:sz="8" w:space="0"/>
              <w:left w:val="nil"/>
              <w:bottom w:val="single" w:color="auto" w:sz="8" w:space="0"/>
              <w:right w:val="single" w:color="auto" w:sz="8" w:space="0"/>
            </w:tcBorders>
            <w:vAlign w:val="center"/>
          </w:tcPr>
          <w:p w14:paraId="7012D49E">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澄清、修改等内容</w:t>
            </w:r>
          </w:p>
        </w:tc>
      </w:tr>
      <w:tr w14:paraId="3B8A245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84644DE">
            <w:pPr>
              <w:pStyle w:val="58"/>
              <w:spacing w:line="440" w:lineRule="exact"/>
              <w:jc w:val="center"/>
              <w:rPr>
                <w:i w:val="0"/>
                <w:iCs w:val="0"/>
                <w:color w:val="auto"/>
                <w:kern w:val="2"/>
                <w:sz w:val="24"/>
                <w:szCs w:val="24"/>
                <w:highlight w:val="none"/>
              </w:rPr>
            </w:pPr>
            <w:r>
              <w:rPr>
                <w:rFonts w:hint="eastAsia"/>
                <w:i w:val="0"/>
                <w:iCs w:val="0"/>
                <w:color w:val="auto"/>
                <w:sz w:val="24"/>
                <w:szCs w:val="24"/>
                <w:highlight w:val="none"/>
              </w:rPr>
              <w:t>2.2.1</w:t>
            </w:r>
          </w:p>
        </w:tc>
        <w:tc>
          <w:tcPr>
            <w:tcW w:w="2024" w:type="dxa"/>
            <w:tcBorders>
              <w:top w:val="single" w:color="auto" w:sz="8" w:space="0"/>
              <w:left w:val="nil"/>
              <w:bottom w:val="single" w:color="auto" w:sz="8" w:space="0"/>
              <w:right w:val="single" w:color="auto" w:sz="8" w:space="0"/>
            </w:tcBorders>
            <w:vAlign w:val="center"/>
          </w:tcPr>
          <w:p w14:paraId="1FC58127">
            <w:pPr>
              <w:pStyle w:val="58"/>
              <w:spacing w:line="440" w:lineRule="exact"/>
              <w:rPr>
                <w:i w:val="0"/>
                <w:iCs w:val="0"/>
                <w:color w:val="auto"/>
                <w:kern w:val="2"/>
                <w:sz w:val="24"/>
                <w:szCs w:val="24"/>
                <w:highlight w:val="none"/>
                <w:lang w:eastAsia="zh-CN"/>
              </w:rPr>
            </w:pPr>
            <w:r>
              <w:rPr>
                <w:rFonts w:hint="eastAsia"/>
                <w:i w:val="0"/>
                <w:iCs w:val="0"/>
                <w:color w:val="auto"/>
                <w:sz w:val="24"/>
                <w:szCs w:val="24"/>
                <w:highlight w:val="none"/>
                <w:lang w:eastAsia="zh-CN"/>
              </w:rPr>
              <w:t>投标人要求澄清招标文件</w:t>
            </w:r>
          </w:p>
        </w:tc>
        <w:tc>
          <w:tcPr>
            <w:tcW w:w="6799" w:type="dxa"/>
            <w:tcBorders>
              <w:top w:val="single" w:color="auto" w:sz="8" w:space="0"/>
              <w:left w:val="nil"/>
              <w:bottom w:val="single" w:color="auto" w:sz="8" w:space="0"/>
              <w:right w:val="single" w:color="auto" w:sz="8" w:space="0"/>
            </w:tcBorders>
            <w:vAlign w:val="center"/>
          </w:tcPr>
          <w:p w14:paraId="7E36E70A">
            <w:pPr>
              <w:pStyle w:val="58"/>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时间：投标截止时间</w:t>
            </w:r>
            <w:r>
              <w:rPr>
                <w:rFonts w:hint="eastAsia"/>
                <w:i w:val="0"/>
                <w:iCs w:val="0"/>
                <w:color w:val="auto"/>
                <w:sz w:val="24"/>
                <w:szCs w:val="24"/>
                <w:highlight w:val="none"/>
                <w:lang w:val="en-US" w:eastAsia="zh-CN"/>
              </w:rPr>
              <w:t>3</w:t>
            </w:r>
            <w:r>
              <w:rPr>
                <w:rFonts w:hint="eastAsia"/>
                <w:i w:val="0"/>
                <w:iCs w:val="0"/>
                <w:color w:val="auto"/>
                <w:sz w:val="24"/>
                <w:szCs w:val="24"/>
                <w:highlight w:val="none"/>
                <w:lang w:eastAsia="zh-CN"/>
              </w:rPr>
              <w:t>日前</w:t>
            </w:r>
          </w:p>
          <w:p w14:paraId="2F272BA1">
            <w:pPr>
              <w:pStyle w:val="58"/>
              <w:spacing w:line="440" w:lineRule="exact"/>
              <w:rPr>
                <w:i w:val="0"/>
                <w:iCs w:val="0"/>
                <w:color w:val="auto"/>
                <w:sz w:val="24"/>
                <w:szCs w:val="24"/>
                <w:highlight w:val="none"/>
                <w:lang w:eastAsia="zh-CN"/>
              </w:rPr>
            </w:pPr>
            <w:r>
              <w:rPr>
                <w:rFonts w:hint="eastAsia"/>
                <w:i w:val="0"/>
                <w:iCs w:val="0"/>
                <w:color w:val="auto"/>
                <w:sz w:val="24"/>
                <w:szCs w:val="24"/>
                <w:highlight w:val="none"/>
              </w:rPr>
              <w:t>形式：</w:t>
            </w:r>
            <w:r>
              <w:rPr>
                <w:rFonts w:hint="eastAsia"/>
                <w:i w:val="0"/>
                <w:iCs w:val="0"/>
                <w:color w:val="auto"/>
                <w:sz w:val="24"/>
                <w:szCs w:val="24"/>
                <w:highlight w:val="none"/>
                <w:lang w:eastAsia="zh-CN"/>
              </w:rPr>
              <w:t>书面</w:t>
            </w:r>
          </w:p>
        </w:tc>
      </w:tr>
      <w:tr w14:paraId="1C5D698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4C0B31">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2.2.2</w:t>
            </w:r>
          </w:p>
        </w:tc>
        <w:tc>
          <w:tcPr>
            <w:tcW w:w="2024" w:type="dxa"/>
            <w:tcBorders>
              <w:top w:val="single" w:color="auto" w:sz="8" w:space="0"/>
              <w:left w:val="nil"/>
              <w:bottom w:val="single" w:color="auto" w:sz="8" w:space="0"/>
              <w:right w:val="single" w:color="auto" w:sz="8" w:space="0"/>
            </w:tcBorders>
            <w:vAlign w:val="center"/>
          </w:tcPr>
          <w:p w14:paraId="65A63398">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澄清发出的形式</w:t>
            </w:r>
          </w:p>
        </w:tc>
        <w:tc>
          <w:tcPr>
            <w:tcW w:w="6799" w:type="dxa"/>
            <w:tcBorders>
              <w:top w:val="single" w:color="auto" w:sz="8" w:space="0"/>
              <w:left w:val="nil"/>
              <w:bottom w:val="single" w:color="auto" w:sz="8" w:space="0"/>
              <w:right w:val="single" w:color="auto" w:sz="8" w:space="0"/>
            </w:tcBorders>
            <w:vAlign w:val="center"/>
          </w:tcPr>
          <w:p w14:paraId="3D7B799E">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书面形式</w:t>
            </w:r>
          </w:p>
        </w:tc>
      </w:tr>
      <w:tr w14:paraId="003D1AD7">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03BD860D">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2.2.3</w:t>
            </w:r>
          </w:p>
        </w:tc>
        <w:tc>
          <w:tcPr>
            <w:tcW w:w="2024" w:type="dxa"/>
            <w:tcBorders>
              <w:top w:val="single" w:color="auto" w:sz="8" w:space="0"/>
              <w:left w:val="nil"/>
              <w:bottom w:val="single" w:color="auto" w:sz="8" w:space="0"/>
              <w:right w:val="single" w:color="auto" w:sz="8" w:space="0"/>
            </w:tcBorders>
            <w:vAlign w:val="center"/>
          </w:tcPr>
          <w:p w14:paraId="7849E4BE">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投标人确认收到</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澄清通知</w:t>
            </w:r>
          </w:p>
        </w:tc>
        <w:tc>
          <w:tcPr>
            <w:tcW w:w="6799" w:type="dxa"/>
            <w:tcBorders>
              <w:top w:val="single" w:color="auto" w:sz="8" w:space="0"/>
              <w:left w:val="nil"/>
              <w:bottom w:val="single" w:color="auto" w:sz="8" w:space="0"/>
              <w:right w:val="single" w:color="auto" w:sz="8" w:space="0"/>
            </w:tcBorders>
            <w:vAlign w:val="center"/>
          </w:tcPr>
          <w:p w14:paraId="32ECECC9">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时间：24小时内</w:t>
            </w:r>
          </w:p>
          <w:p w14:paraId="224FE123">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形式：盖章确认后，以电子邮件形式向</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发送扫描件</w:t>
            </w:r>
          </w:p>
          <w:p w14:paraId="28DE6115">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电子邮箱：</w:t>
            </w:r>
            <w:r>
              <w:rPr>
                <w:rFonts w:hint="eastAsia" w:ascii="宋体" w:hAnsi="宋体" w:cs="宋体"/>
                <w:i w:val="0"/>
                <w:iCs w:val="0"/>
                <w:color w:val="auto"/>
                <w:kern w:val="2"/>
                <w:sz w:val="24"/>
                <w:szCs w:val="24"/>
                <w:highlight w:val="none"/>
                <w:u w:val="single"/>
                <w:lang w:val="en-US" w:eastAsia="zh-CN"/>
              </w:rPr>
              <w:t>18988261612</w:t>
            </w:r>
            <w:r>
              <w:rPr>
                <w:rFonts w:hint="eastAsia" w:ascii="宋体" w:hAnsi="宋体" w:cs="宋体"/>
                <w:i w:val="0"/>
                <w:iCs w:val="0"/>
                <w:color w:val="auto"/>
                <w:kern w:val="2"/>
                <w:sz w:val="24"/>
                <w:szCs w:val="24"/>
                <w:highlight w:val="none"/>
                <w:u w:val="single"/>
              </w:rPr>
              <w:t>@</w:t>
            </w:r>
            <w:r>
              <w:rPr>
                <w:rFonts w:hint="eastAsia" w:ascii="宋体" w:hAnsi="宋体" w:cs="宋体"/>
                <w:i w:val="0"/>
                <w:iCs w:val="0"/>
                <w:color w:val="auto"/>
                <w:kern w:val="2"/>
                <w:sz w:val="24"/>
                <w:szCs w:val="24"/>
                <w:highlight w:val="none"/>
                <w:u w:val="single"/>
                <w:lang w:val="en-US" w:eastAsia="zh-CN"/>
              </w:rPr>
              <w:t>163</w:t>
            </w:r>
            <w:r>
              <w:rPr>
                <w:rFonts w:hint="eastAsia" w:ascii="宋体" w:hAnsi="宋体" w:cs="宋体"/>
                <w:i w:val="0"/>
                <w:iCs w:val="0"/>
                <w:color w:val="auto"/>
                <w:kern w:val="2"/>
                <w:sz w:val="24"/>
                <w:szCs w:val="24"/>
                <w:highlight w:val="none"/>
                <w:u w:val="single"/>
              </w:rPr>
              <w:t>.com</w:t>
            </w:r>
          </w:p>
        </w:tc>
      </w:tr>
      <w:tr w14:paraId="4ACE171C">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B14B1FB">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2.3.1</w:t>
            </w:r>
          </w:p>
        </w:tc>
        <w:tc>
          <w:tcPr>
            <w:tcW w:w="2024" w:type="dxa"/>
            <w:tcBorders>
              <w:top w:val="single" w:color="auto" w:sz="8" w:space="0"/>
              <w:left w:val="nil"/>
              <w:bottom w:val="single" w:color="auto" w:sz="8" w:space="0"/>
              <w:right w:val="single" w:color="auto" w:sz="8" w:space="0"/>
            </w:tcBorders>
            <w:vAlign w:val="center"/>
          </w:tcPr>
          <w:p w14:paraId="6D585A5E">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修改发出的形式</w:t>
            </w:r>
          </w:p>
        </w:tc>
        <w:tc>
          <w:tcPr>
            <w:tcW w:w="6799" w:type="dxa"/>
            <w:tcBorders>
              <w:top w:val="single" w:color="auto" w:sz="8" w:space="0"/>
              <w:left w:val="nil"/>
              <w:bottom w:val="single" w:color="auto" w:sz="8" w:space="0"/>
              <w:right w:val="single" w:color="auto" w:sz="8" w:space="0"/>
            </w:tcBorders>
            <w:vAlign w:val="center"/>
          </w:tcPr>
          <w:p w14:paraId="77E1353A">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书面形式</w:t>
            </w:r>
          </w:p>
        </w:tc>
      </w:tr>
      <w:tr w14:paraId="40C1FEBE">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5AEC3336">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2.3.2</w:t>
            </w:r>
          </w:p>
        </w:tc>
        <w:tc>
          <w:tcPr>
            <w:tcW w:w="2024" w:type="dxa"/>
            <w:tcBorders>
              <w:top w:val="single" w:color="auto" w:sz="8" w:space="0"/>
              <w:left w:val="nil"/>
              <w:bottom w:val="single" w:color="auto" w:sz="8" w:space="0"/>
              <w:right w:val="single" w:color="auto" w:sz="8" w:space="0"/>
            </w:tcBorders>
            <w:vAlign w:val="center"/>
          </w:tcPr>
          <w:p w14:paraId="414CC90C">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投标人确认收到</w:t>
            </w:r>
            <w:r>
              <w:rPr>
                <w:rFonts w:hint="eastAsia" w:ascii="宋体" w:hAnsi="宋体" w:cs="宋体"/>
                <w:i w:val="0"/>
                <w:iCs w:val="0"/>
                <w:color w:val="auto"/>
                <w:kern w:val="2"/>
                <w:sz w:val="24"/>
                <w:szCs w:val="24"/>
                <w:highlight w:val="none"/>
                <w:lang w:eastAsia="zh-CN"/>
              </w:rPr>
              <w:t>招标文件</w:t>
            </w:r>
            <w:r>
              <w:rPr>
                <w:rFonts w:hint="eastAsia" w:ascii="宋体" w:hAnsi="宋体" w:cs="宋体"/>
                <w:i w:val="0"/>
                <w:iCs w:val="0"/>
                <w:color w:val="auto"/>
                <w:kern w:val="2"/>
                <w:sz w:val="24"/>
                <w:szCs w:val="24"/>
                <w:highlight w:val="none"/>
              </w:rPr>
              <w:t>修改</w:t>
            </w:r>
          </w:p>
        </w:tc>
        <w:tc>
          <w:tcPr>
            <w:tcW w:w="6799" w:type="dxa"/>
            <w:tcBorders>
              <w:top w:val="single" w:color="auto" w:sz="8" w:space="0"/>
              <w:left w:val="nil"/>
              <w:bottom w:val="single" w:color="auto" w:sz="8" w:space="0"/>
              <w:right w:val="single" w:color="auto" w:sz="8" w:space="0"/>
            </w:tcBorders>
            <w:vAlign w:val="center"/>
          </w:tcPr>
          <w:p w14:paraId="4501B529">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时间：24小时内</w:t>
            </w:r>
          </w:p>
          <w:p w14:paraId="144D6E10">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形式：盖章确认后，以电子邮件形式向</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发送扫描件</w:t>
            </w:r>
          </w:p>
          <w:p w14:paraId="384CF21D">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电子邮箱：</w:t>
            </w:r>
            <w:r>
              <w:rPr>
                <w:rFonts w:hint="eastAsia" w:ascii="宋体" w:hAnsi="宋体" w:cs="宋体"/>
                <w:i w:val="0"/>
                <w:iCs w:val="0"/>
                <w:color w:val="auto"/>
                <w:kern w:val="2"/>
                <w:sz w:val="24"/>
                <w:szCs w:val="24"/>
                <w:highlight w:val="none"/>
                <w:u w:val="single"/>
                <w:lang w:val="en-US" w:eastAsia="zh-CN"/>
              </w:rPr>
              <w:t>18988261612</w:t>
            </w:r>
            <w:r>
              <w:rPr>
                <w:rFonts w:hint="eastAsia" w:ascii="宋体" w:hAnsi="宋体" w:cs="宋体"/>
                <w:i w:val="0"/>
                <w:iCs w:val="0"/>
                <w:color w:val="auto"/>
                <w:kern w:val="2"/>
                <w:sz w:val="24"/>
                <w:szCs w:val="24"/>
                <w:highlight w:val="none"/>
                <w:u w:val="single"/>
              </w:rPr>
              <w:t>@</w:t>
            </w:r>
            <w:r>
              <w:rPr>
                <w:rFonts w:hint="eastAsia" w:ascii="宋体" w:hAnsi="宋体" w:cs="宋体"/>
                <w:i w:val="0"/>
                <w:iCs w:val="0"/>
                <w:color w:val="auto"/>
                <w:kern w:val="2"/>
                <w:sz w:val="24"/>
                <w:szCs w:val="24"/>
                <w:highlight w:val="none"/>
                <w:u w:val="single"/>
                <w:lang w:val="en-US" w:eastAsia="zh-CN"/>
              </w:rPr>
              <w:t>163</w:t>
            </w:r>
            <w:r>
              <w:rPr>
                <w:rFonts w:hint="eastAsia" w:ascii="宋体" w:hAnsi="宋体" w:cs="宋体"/>
                <w:i w:val="0"/>
                <w:iCs w:val="0"/>
                <w:color w:val="auto"/>
                <w:kern w:val="2"/>
                <w:sz w:val="24"/>
                <w:szCs w:val="24"/>
                <w:highlight w:val="none"/>
                <w:u w:val="single"/>
              </w:rPr>
              <w:t>.com</w:t>
            </w:r>
          </w:p>
        </w:tc>
      </w:tr>
      <w:tr w14:paraId="25947D7D">
        <w:tblPrEx>
          <w:tblCellMar>
            <w:top w:w="0" w:type="dxa"/>
            <w:left w:w="0" w:type="dxa"/>
            <w:bottom w:w="0" w:type="dxa"/>
            <w:right w:w="0" w:type="dxa"/>
          </w:tblCellMar>
        </w:tblPrEx>
        <w:trPr>
          <w:trHeight w:val="853"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032492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3.2.3</w:t>
            </w:r>
          </w:p>
        </w:tc>
        <w:tc>
          <w:tcPr>
            <w:tcW w:w="2024" w:type="dxa"/>
            <w:tcBorders>
              <w:top w:val="single" w:color="auto" w:sz="8" w:space="0"/>
              <w:left w:val="nil"/>
              <w:bottom w:val="single" w:color="auto" w:sz="8" w:space="0"/>
              <w:right w:val="single" w:color="auto" w:sz="8" w:space="0"/>
            </w:tcBorders>
            <w:vAlign w:val="center"/>
          </w:tcPr>
          <w:p w14:paraId="37EAA946">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rPr>
              <w:t>预算金额(</w:t>
            </w:r>
            <w:r>
              <w:rPr>
                <w:rFonts w:hint="eastAsia" w:ascii="宋体" w:hAnsi="宋体" w:cs="宋体"/>
                <w:i w:val="0"/>
                <w:iCs w:val="0"/>
                <w:color w:val="auto"/>
                <w:sz w:val="24"/>
                <w:szCs w:val="24"/>
                <w:highlight w:val="none"/>
                <w:lang w:val="en-US" w:eastAsia="zh-CN"/>
              </w:rPr>
              <w:t>最高限价</w:t>
            </w:r>
            <w:r>
              <w:rPr>
                <w:rFonts w:hint="eastAsia" w:ascii="宋体" w:hAnsi="宋体" w:cs="宋体"/>
                <w:i w:val="0"/>
                <w:iCs w:val="0"/>
                <w:color w:val="auto"/>
                <w:sz w:val="24"/>
                <w:szCs w:val="24"/>
                <w:highlight w:val="none"/>
              </w:rPr>
              <w:t>)</w:t>
            </w:r>
          </w:p>
        </w:tc>
        <w:tc>
          <w:tcPr>
            <w:tcW w:w="6799" w:type="dxa"/>
            <w:tcBorders>
              <w:top w:val="single" w:color="auto" w:sz="8" w:space="0"/>
              <w:left w:val="nil"/>
              <w:bottom w:val="single" w:color="auto" w:sz="8" w:space="0"/>
              <w:right w:val="single" w:color="auto" w:sz="8" w:space="0"/>
            </w:tcBorders>
            <w:vAlign w:val="center"/>
          </w:tcPr>
          <w:p w14:paraId="5BB842D8">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val="en-US" w:eastAsia="zh-CN"/>
              </w:rPr>
              <w:t>45</w:t>
            </w:r>
            <w:r>
              <w:rPr>
                <w:rFonts w:hint="eastAsia" w:ascii="宋体" w:hAnsi="宋体" w:cs="宋体"/>
                <w:i w:val="0"/>
                <w:iCs w:val="0"/>
                <w:color w:val="auto"/>
                <w:kern w:val="2"/>
                <w:sz w:val="24"/>
                <w:szCs w:val="24"/>
                <w:highlight w:val="none"/>
                <w:lang w:eastAsia="zh-CN"/>
              </w:rPr>
              <w:t>万元。</w:t>
            </w:r>
          </w:p>
        </w:tc>
      </w:tr>
      <w:tr w14:paraId="76F88941">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B44DB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3.2.4</w:t>
            </w:r>
          </w:p>
        </w:tc>
        <w:tc>
          <w:tcPr>
            <w:tcW w:w="2024" w:type="dxa"/>
            <w:tcBorders>
              <w:top w:val="single" w:color="auto" w:sz="8" w:space="0"/>
              <w:left w:val="nil"/>
              <w:bottom w:val="single" w:color="auto" w:sz="8" w:space="0"/>
              <w:right w:val="single" w:color="auto" w:sz="8" w:space="0"/>
            </w:tcBorders>
            <w:vAlign w:val="center"/>
          </w:tcPr>
          <w:p w14:paraId="3F9D9201">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投标报价的其他要求</w:t>
            </w:r>
          </w:p>
        </w:tc>
        <w:tc>
          <w:tcPr>
            <w:tcW w:w="6799" w:type="dxa"/>
            <w:tcBorders>
              <w:top w:val="single" w:color="auto" w:sz="8" w:space="0"/>
              <w:left w:val="nil"/>
              <w:bottom w:val="single" w:color="auto" w:sz="8" w:space="0"/>
              <w:right w:val="single" w:color="auto" w:sz="8" w:space="0"/>
            </w:tcBorders>
            <w:vAlign w:val="center"/>
          </w:tcPr>
          <w:p w14:paraId="5FB6B26F">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(1)本次投标报价为综合报价，报价应为人民币含税价（元），</w:t>
            </w:r>
            <w:r>
              <w:rPr>
                <w:rFonts w:hint="eastAsia" w:ascii="宋体" w:hAnsi="宋体" w:cs="宋体"/>
                <w:i w:val="0"/>
                <w:iCs w:val="0"/>
                <w:color w:val="auto"/>
                <w:kern w:val="2"/>
                <w:sz w:val="24"/>
                <w:szCs w:val="24"/>
                <w:highlight w:val="none"/>
                <w:u w:val="single"/>
              </w:rPr>
              <w:t>包括服务成本价格（含利润）、保险、税收、培训、售后服务、中标服务费</w:t>
            </w:r>
            <w:r>
              <w:rPr>
                <w:rFonts w:hint="eastAsia" w:ascii="宋体" w:hAnsi="宋体" w:cs="宋体"/>
                <w:i w:val="0"/>
                <w:iCs w:val="0"/>
                <w:color w:val="auto"/>
                <w:kern w:val="2"/>
                <w:sz w:val="24"/>
                <w:szCs w:val="24"/>
                <w:highlight w:val="none"/>
              </w:rPr>
              <w:t>等所有一切费用。</w:t>
            </w:r>
          </w:p>
          <w:p w14:paraId="22BDD543">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(2)投标人应承担所有与参加</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有关的自身的所有费用，不论</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的结果如何，</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在任何情况下均无义务和责任承担这些费用。</w:t>
            </w:r>
          </w:p>
        </w:tc>
      </w:tr>
      <w:tr w14:paraId="04F78A39">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A7B5E47">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3.3.1</w:t>
            </w:r>
          </w:p>
        </w:tc>
        <w:tc>
          <w:tcPr>
            <w:tcW w:w="2024" w:type="dxa"/>
            <w:tcBorders>
              <w:top w:val="single" w:color="auto" w:sz="8" w:space="0"/>
              <w:left w:val="nil"/>
              <w:bottom w:val="single" w:color="auto" w:sz="8" w:space="0"/>
              <w:right w:val="single" w:color="auto" w:sz="8" w:space="0"/>
            </w:tcBorders>
            <w:vAlign w:val="center"/>
          </w:tcPr>
          <w:p w14:paraId="7D57671F">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有效期</w:t>
            </w:r>
          </w:p>
        </w:tc>
        <w:tc>
          <w:tcPr>
            <w:tcW w:w="6799" w:type="dxa"/>
            <w:tcBorders>
              <w:top w:val="single" w:color="auto" w:sz="8" w:space="0"/>
              <w:left w:val="nil"/>
              <w:bottom w:val="single" w:color="auto" w:sz="8" w:space="0"/>
              <w:right w:val="single" w:color="auto" w:sz="8" w:space="0"/>
            </w:tcBorders>
            <w:vAlign w:val="center"/>
          </w:tcPr>
          <w:p w14:paraId="6A81063F">
            <w:pPr>
              <w:pStyle w:val="56"/>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90日历天(从递交</w:t>
            </w:r>
            <w:r>
              <w:rPr>
                <w:rFonts w:hint="eastAsia" w:ascii="宋体" w:hAnsi="宋体" w:cs="宋体"/>
                <w:i w:val="0"/>
                <w:iCs w:val="0"/>
                <w:color w:val="auto"/>
                <w:kern w:val="2"/>
                <w:sz w:val="24"/>
                <w:szCs w:val="24"/>
                <w:highlight w:val="none"/>
                <w:lang w:eastAsia="zh-CN"/>
              </w:rPr>
              <w:t>招标</w:t>
            </w:r>
            <w:r>
              <w:rPr>
                <w:rFonts w:hint="eastAsia" w:ascii="宋体" w:hAnsi="宋体" w:cs="宋体"/>
                <w:i w:val="0"/>
                <w:iCs w:val="0"/>
                <w:color w:val="auto"/>
                <w:kern w:val="2"/>
                <w:sz w:val="24"/>
                <w:szCs w:val="24"/>
                <w:highlight w:val="none"/>
              </w:rPr>
              <w:t>文件的截止之日起算)</w:t>
            </w:r>
          </w:p>
        </w:tc>
      </w:tr>
      <w:tr w14:paraId="73D73A2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2A9A774">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3.4.1</w:t>
            </w:r>
          </w:p>
        </w:tc>
        <w:tc>
          <w:tcPr>
            <w:tcW w:w="2024" w:type="dxa"/>
            <w:tcBorders>
              <w:top w:val="single" w:color="auto" w:sz="8" w:space="0"/>
              <w:left w:val="nil"/>
              <w:bottom w:val="single" w:color="auto" w:sz="8" w:space="0"/>
              <w:right w:val="single" w:color="auto" w:sz="8" w:space="0"/>
            </w:tcBorders>
            <w:vAlign w:val="center"/>
          </w:tcPr>
          <w:p w14:paraId="0F4F4107">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保证金</w:t>
            </w:r>
          </w:p>
        </w:tc>
        <w:tc>
          <w:tcPr>
            <w:tcW w:w="6799" w:type="dxa"/>
            <w:tcBorders>
              <w:top w:val="single" w:color="auto" w:sz="8" w:space="0"/>
              <w:left w:val="nil"/>
              <w:bottom w:val="single" w:color="auto" w:sz="8" w:space="0"/>
              <w:right w:val="single" w:color="auto" w:sz="8" w:space="0"/>
            </w:tcBorders>
            <w:vAlign w:val="center"/>
          </w:tcPr>
          <w:p w14:paraId="36F3FD5B">
            <w:pPr>
              <w:autoSpaceDE w:val="0"/>
              <w:autoSpaceDN w:val="0"/>
              <w:spacing w:line="420" w:lineRule="exact"/>
              <w:rPr>
                <w:rFonts w:hint="eastAsia" w:ascii="宋体" w:hAnsi="宋体" w:eastAsia="宋体" w:cs="宋体"/>
                <w:i w:val="0"/>
                <w:iCs w:val="0"/>
                <w:color w:val="auto"/>
                <w:kern w:val="2"/>
                <w:sz w:val="24"/>
                <w:szCs w:val="24"/>
                <w:highlight w:val="none"/>
                <w:lang w:eastAsia="zh-CN"/>
              </w:rPr>
            </w:pPr>
            <w:r>
              <w:rPr>
                <w:rFonts w:hint="eastAsia" w:ascii="宋体" w:hAnsi="宋体" w:cs="宋体"/>
                <w:i w:val="0"/>
                <w:iCs w:val="0"/>
                <w:color w:val="auto"/>
                <w:kern w:val="2"/>
                <w:sz w:val="24"/>
                <w:szCs w:val="24"/>
                <w:highlight w:val="none"/>
                <w:lang w:eastAsia="zh-CN"/>
              </w:rPr>
              <w:t>不收取</w:t>
            </w:r>
          </w:p>
        </w:tc>
      </w:tr>
      <w:tr w14:paraId="2FFC12A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67247C0">
            <w:pPr>
              <w:spacing w:line="42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3.5.</w:t>
            </w:r>
            <w:r>
              <w:rPr>
                <w:rFonts w:hint="eastAsia" w:ascii="宋体" w:hAnsi="宋体" w:cs="宋体"/>
                <w:i w:val="0"/>
                <w:iCs w:val="0"/>
                <w:color w:val="auto"/>
                <w:kern w:val="2"/>
                <w:sz w:val="24"/>
                <w:szCs w:val="24"/>
                <w:highlight w:val="none"/>
                <w:lang w:val="en-US" w:eastAsia="zh-CN"/>
              </w:rPr>
              <w:t>2</w:t>
            </w:r>
            <w:r>
              <w:rPr>
                <w:rFonts w:hint="eastAsia" w:ascii="宋体" w:hAnsi="宋体" w:cs="宋体"/>
                <w:i w:val="0"/>
                <w:iCs w:val="0"/>
                <w:color w:val="auto"/>
                <w:kern w:val="2"/>
                <w:sz w:val="24"/>
                <w:szCs w:val="24"/>
                <w:highlight w:val="none"/>
              </w:rPr>
              <w:t>（2）</w:t>
            </w:r>
          </w:p>
        </w:tc>
        <w:tc>
          <w:tcPr>
            <w:tcW w:w="2024" w:type="dxa"/>
            <w:tcBorders>
              <w:top w:val="single" w:color="auto" w:sz="8" w:space="0"/>
              <w:left w:val="nil"/>
              <w:bottom w:val="single" w:color="auto" w:sz="8" w:space="0"/>
              <w:right w:val="single" w:color="auto" w:sz="8" w:space="0"/>
            </w:tcBorders>
            <w:vAlign w:val="center"/>
          </w:tcPr>
          <w:p w14:paraId="1D1E6672">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文件份数及其他要求</w:t>
            </w:r>
          </w:p>
        </w:tc>
        <w:tc>
          <w:tcPr>
            <w:tcW w:w="6799" w:type="dxa"/>
            <w:tcBorders>
              <w:top w:val="single" w:color="auto" w:sz="8" w:space="0"/>
              <w:left w:val="nil"/>
              <w:bottom w:val="single" w:color="auto" w:sz="8" w:space="0"/>
              <w:right w:val="single" w:color="auto" w:sz="8" w:space="0"/>
            </w:tcBorders>
            <w:vAlign w:val="center"/>
          </w:tcPr>
          <w:p w14:paraId="6D937738">
            <w:pPr>
              <w:pStyle w:val="58"/>
              <w:spacing w:line="420" w:lineRule="exact"/>
              <w:rPr>
                <w:i w:val="0"/>
                <w:iCs w:val="0"/>
                <w:color w:val="auto"/>
                <w:sz w:val="24"/>
                <w:szCs w:val="24"/>
                <w:highlight w:val="none"/>
                <w:lang w:eastAsia="zh-CN"/>
              </w:rPr>
            </w:pPr>
            <w:r>
              <w:rPr>
                <w:rFonts w:hint="eastAsia"/>
                <w:i w:val="0"/>
                <w:iCs w:val="0"/>
                <w:color w:val="auto"/>
                <w:sz w:val="24"/>
                <w:szCs w:val="24"/>
                <w:highlight w:val="none"/>
                <w:lang w:eastAsia="zh-CN"/>
              </w:rPr>
              <w:t>投标文件正本份数：</w:t>
            </w:r>
            <w:r>
              <w:rPr>
                <w:rFonts w:hint="eastAsia"/>
                <w:i w:val="0"/>
                <w:iCs w:val="0"/>
                <w:color w:val="auto"/>
                <w:sz w:val="24"/>
                <w:szCs w:val="24"/>
                <w:highlight w:val="none"/>
                <w:u w:val="single"/>
                <w:lang w:eastAsia="zh-CN"/>
              </w:rPr>
              <w:t>1</w:t>
            </w:r>
            <w:r>
              <w:rPr>
                <w:rFonts w:hint="eastAsia"/>
                <w:i w:val="0"/>
                <w:iCs w:val="0"/>
                <w:color w:val="auto"/>
                <w:sz w:val="24"/>
                <w:szCs w:val="24"/>
                <w:highlight w:val="none"/>
                <w:lang w:eastAsia="zh-CN"/>
              </w:rPr>
              <w:t>份</w:t>
            </w:r>
          </w:p>
          <w:p w14:paraId="570524DF">
            <w:pPr>
              <w:pStyle w:val="58"/>
              <w:spacing w:line="420" w:lineRule="exact"/>
              <w:rPr>
                <w:i w:val="0"/>
                <w:iCs w:val="0"/>
                <w:color w:val="auto"/>
                <w:sz w:val="24"/>
                <w:szCs w:val="24"/>
                <w:highlight w:val="none"/>
                <w:lang w:eastAsia="zh-CN"/>
              </w:rPr>
            </w:pPr>
            <w:r>
              <w:rPr>
                <w:rFonts w:hint="eastAsia"/>
                <w:i w:val="0"/>
                <w:iCs w:val="0"/>
                <w:color w:val="auto"/>
                <w:sz w:val="24"/>
                <w:szCs w:val="24"/>
                <w:highlight w:val="none"/>
                <w:lang w:eastAsia="zh-CN"/>
              </w:rPr>
              <w:t>投标文件副本份数：</w:t>
            </w:r>
            <w:r>
              <w:rPr>
                <w:rFonts w:hint="eastAsia"/>
                <w:i w:val="0"/>
                <w:iCs w:val="0"/>
                <w:color w:val="auto"/>
                <w:sz w:val="24"/>
                <w:szCs w:val="24"/>
                <w:highlight w:val="none"/>
                <w:u w:val="single"/>
                <w:lang w:val="en-US" w:eastAsia="zh-CN"/>
              </w:rPr>
              <w:t>1</w:t>
            </w:r>
            <w:r>
              <w:rPr>
                <w:rFonts w:hint="eastAsia"/>
                <w:i w:val="0"/>
                <w:iCs w:val="0"/>
                <w:color w:val="auto"/>
                <w:sz w:val="24"/>
                <w:szCs w:val="24"/>
                <w:highlight w:val="none"/>
                <w:lang w:eastAsia="zh-CN"/>
              </w:rPr>
              <w:t>份</w:t>
            </w:r>
          </w:p>
          <w:p w14:paraId="6230C9E0">
            <w:pPr>
              <w:spacing w:line="40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电子版文件：1</w:t>
            </w:r>
            <w:r>
              <w:rPr>
                <w:rFonts w:hint="eastAsia" w:ascii="宋体" w:hAnsi="宋体" w:cs="宋体"/>
                <w:i w:val="0"/>
                <w:iCs w:val="0"/>
                <w:color w:val="auto"/>
                <w:kern w:val="2"/>
                <w:sz w:val="24"/>
                <w:szCs w:val="24"/>
                <w:highlight w:val="none"/>
                <w:u w:val="single"/>
              </w:rPr>
              <w:t>份U盘</w:t>
            </w:r>
            <w:r>
              <w:rPr>
                <w:rFonts w:hint="eastAsia" w:ascii="宋体" w:hAnsi="宋体" w:cs="宋体"/>
                <w:i w:val="0"/>
                <w:iCs w:val="0"/>
                <w:color w:val="auto"/>
                <w:kern w:val="2"/>
                <w:sz w:val="24"/>
                <w:szCs w:val="24"/>
                <w:highlight w:val="none"/>
              </w:rPr>
              <w:t>,具体要求：</w:t>
            </w:r>
            <w:r>
              <w:rPr>
                <w:rFonts w:hint="eastAsia" w:ascii="宋体" w:hAnsi="宋体" w:cs="宋体"/>
                <w:i w:val="0"/>
                <w:iCs w:val="0"/>
                <w:color w:val="auto"/>
                <w:kern w:val="2"/>
                <w:sz w:val="24"/>
                <w:szCs w:val="24"/>
                <w:highlight w:val="none"/>
                <w:u w:val="single"/>
              </w:rPr>
              <w:t>每份U盘里的电子版本需为签字、盖章后的PDF格式(内容与正本完全一致)1份</w:t>
            </w:r>
            <w:r>
              <w:rPr>
                <w:rFonts w:hint="eastAsia" w:ascii="宋体" w:hAnsi="宋体" w:cs="宋体"/>
                <w:i w:val="0"/>
                <w:iCs w:val="0"/>
                <w:color w:val="auto"/>
                <w:kern w:val="2"/>
                <w:sz w:val="24"/>
                <w:szCs w:val="24"/>
                <w:highlight w:val="none"/>
                <w:u w:val="single"/>
                <w:lang w:eastAsia="zh-CN"/>
              </w:rPr>
              <w:t>，</w:t>
            </w:r>
            <w:r>
              <w:rPr>
                <w:rFonts w:hint="eastAsia" w:ascii="宋体" w:hAnsi="宋体" w:cs="宋体"/>
                <w:i w:val="0"/>
                <w:iCs w:val="0"/>
                <w:color w:val="auto"/>
                <w:kern w:val="2"/>
                <w:sz w:val="24"/>
                <w:szCs w:val="24"/>
                <w:highlight w:val="none"/>
                <w:u w:val="single"/>
              </w:rPr>
              <w:t>不退还。</w:t>
            </w:r>
          </w:p>
          <w:p w14:paraId="7C781959">
            <w:pPr>
              <w:spacing w:line="42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rPr>
              <w:t>其他要求：</w:t>
            </w:r>
            <w:r>
              <w:rPr>
                <w:rFonts w:hint="eastAsia" w:ascii="宋体" w:hAnsi="宋体" w:cs="宋体"/>
                <w:i w:val="0"/>
                <w:iCs w:val="0"/>
                <w:color w:val="auto"/>
                <w:kern w:val="2"/>
                <w:sz w:val="24"/>
                <w:szCs w:val="24"/>
                <w:highlight w:val="none"/>
                <w:u w:val="single"/>
              </w:rPr>
              <w:t>/</w:t>
            </w:r>
          </w:p>
        </w:tc>
      </w:tr>
      <w:tr w14:paraId="214AE53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4B39475">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4.1.1</w:t>
            </w:r>
          </w:p>
        </w:tc>
        <w:tc>
          <w:tcPr>
            <w:tcW w:w="2024" w:type="dxa"/>
            <w:tcBorders>
              <w:top w:val="single" w:color="auto" w:sz="8" w:space="0"/>
              <w:left w:val="nil"/>
              <w:bottom w:val="single" w:color="auto" w:sz="8" w:space="0"/>
              <w:right w:val="single" w:color="auto" w:sz="8" w:space="0"/>
            </w:tcBorders>
            <w:vAlign w:val="center"/>
          </w:tcPr>
          <w:p w14:paraId="2BC91F65">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szCs w:val="24"/>
                <w:highlight w:val="none"/>
              </w:rPr>
              <w:t>和封套上应载明的信息</w:t>
            </w:r>
          </w:p>
        </w:tc>
        <w:tc>
          <w:tcPr>
            <w:tcW w:w="6799" w:type="dxa"/>
            <w:tcBorders>
              <w:top w:val="single" w:color="auto" w:sz="8" w:space="0"/>
              <w:left w:val="nil"/>
              <w:bottom w:val="single" w:color="auto" w:sz="8" w:space="0"/>
              <w:right w:val="single" w:color="auto" w:sz="8" w:space="0"/>
            </w:tcBorders>
            <w:vAlign w:val="center"/>
          </w:tcPr>
          <w:p w14:paraId="1FAD25F1">
            <w:pPr>
              <w:spacing w:line="400" w:lineRule="exact"/>
              <w:rPr>
                <w:rFonts w:ascii="宋体" w:hAnsi="宋体" w:cs="宋体"/>
                <w:i w:val="0"/>
                <w:iCs w:val="0"/>
                <w:color w:val="auto"/>
                <w:sz w:val="24"/>
                <w:highlight w:val="none"/>
                <w:u w:val="singl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u w:val="single"/>
              </w:rPr>
              <w:t>文件</w:t>
            </w:r>
            <w:r>
              <w:rPr>
                <w:rFonts w:hint="eastAsia" w:ascii="宋体" w:hAnsi="宋体" w:cs="宋体"/>
                <w:i w:val="0"/>
                <w:iCs w:val="0"/>
                <w:color w:val="auto"/>
                <w:sz w:val="24"/>
                <w:highlight w:val="none"/>
                <w:u w:val="single"/>
                <w:lang w:val="en-US" w:eastAsia="zh-CN"/>
              </w:rPr>
              <w:t>正、副本</w:t>
            </w:r>
            <w:r>
              <w:rPr>
                <w:rFonts w:hint="eastAsia" w:ascii="宋体" w:hAnsi="宋体" w:cs="宋体"/>
                <w:i w:val="0"/>
                <w:iCs w:val="0"/>
                <w:color w:val="auto"/>
                <w:sz w:val="24"/>
                <w:highlight w:val="none"/>
                <w:u w:val="single"/>
              </w:rPr>
              <w:t>、电子版文件密封包装，封口处加盖单位公章或密封章</w:t>
            </w:r>
          </w:p>
          <w:p w14:paraId="2D40A318">
            <w:pPr>
              <w:pStyle w:val="12"/>
              <w:spacing w:line="440" w:lineRule="exact"/>
              <w:rPr>
                <w:rFonts w:ascii="宋体" w:hAnsi="宋体" w:cs="宋体"/>
                <w:i w:val="0"/>
                <w:iCs w:val="0"/>
                <w:color w:val="auto"/>
                <w:highlight w:val="none"/>
              </w:rPr>
            </w:pPr>
            <w:r>
              <w:rPr>
                <w:rFonts w:hint="eastAsia" w:ascii="宋体" w:hAnsi="宋体" w:cs="宋体"/>
                <w:i w:val="0"/>
                <w:iCs w:val="0"/>
                <w:color w:val="auto"/>
                <w:sz w:val="24"/>
                <w:highlight w:val="none"/>
              </w:rPr>
              <w:t>封套上应载明的信息：</w:t>
            </w:r>
          </w:p>
          <w:p w14:paraId="13CAA63F">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人名称：</w:t>
            </w:r>
            <w:r>
              <w:rPr>
                <w:rFonts w:hint="eastAsia" w:ascii="宋体" w:hAnsi="宋体" w:cs="宋体"/>
                <w:i w:val="0"/>
                <w:iCs w:val="0"/>
                <w:color w:val="auto"/>
                <w:kern w:val="2"/>
                <w:sz w:val="24"/>
                <w:szCs w:val="24"/>
                <w:highlight w:val="none"/>
                <w:u w:val="single"/>
              </w:rPr>
              <w:t xml:space="preserve">          </w:t>
            </w:r>
            <w:r>
              <w:rPr>
                <w:rFonts w:hint="eastAsia" w:ascii="宋体" w:hAnsi="宋体" w:cs="宋体"/>
                <w:i w:val="0"/>
                <w:iCs w:val="0"/>
                <w:color w:val="auto"/>
                <w:kern w:val="2"/>
                <w:sz w:val="24"/>
                <w:szCs w:val="24"/>
                <w:highlight w:val="none"/>
              </w:rPr>
              <w:t xml:space="preserve">    </w:t>
            </w:r>
          </w:p>
          <w:p w14:paraId="0344510F">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u w:val="single"/>
              </w:rPr>
              <w:t xml:space="preserve">           </w:t>
            </w:r>
            <w:r>
              <w:rPr>
                <w:rFonts w:hint="eastAsia" w:ascii="宋体" w:hAnsi="宋体" w:cs="宋体"/>
                <w:i w:val="0"/>
                <w:iCs w:val="0"/>
                <w:color w:val="auto"/>
                <w:kern w:val="2"/>
                <w:sz w:val="24"/>
                <w:szCs w:val="24"/>
                <w:highlight w:val="none"/>
              </w:rPr>
              <w:t>(项目名称)</w:t>
            </w: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w:t>
            </w:r>
          </w:p>
          <w:p w14:paraId="23F6C8E7">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在</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时</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kern w:val="2"/>
                <w:sz w:val="24"/>
                <w:szCs w:val="24"/>
                <w:highlight w:val="none"/>
              </w:rPr>
              <w:t>分前不得开启</w:t>
            </w:r>
          </w:p>
        </w:tc>
      </w:tr>
      <w:tr w14:paraId="6F019C64">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522CADCB">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4.2.1</w:t>
            </w:r>
          </w:p>
        </w:tc>
        <w:tc>
          <w:tcPr>
            <w:tcW w:w="2024" w:type="dxa"/>
            <w:tcBorders>
              <w:top w:val="single" w:color="auto" w:sz="8" w:space="0"/>
              <w:left w:val="nil"/>
              <w:bottom w:val="single" w:color="auto" w:sz="8" w:space="0"/>
              <w:right w:val="single" w:color="auto" w:sz="8" w:space="0"/>
            </w:tcBorders>
            <w:vAlign w:val="center"/>
          </w:tcPr>
          <w:p w14:paraId="371E27B2">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截止时间</w:t>
            </w:r>
          </w:p>
        </w:tc>
        <w:tc>
          <w:tcPr>
            <w:tcW w:w="6799" w:type="dxa"/>
            <w:tcBorders>
              <w:top w:val="single" w:color="auto" w:sz="8" w:space="0"/>
              <w:left w:val="nil"/>
              <w:bottom w:val="single" w:color="auto" w:sz="8" w:space="0"/>
              <w:right w:val="single" w:color="auto" w:sz="8" w:space="0"/>
            </w:tcBorders>
            <w:vAlign w:val="center"/>
          </w:tcPr>
          <w:p w14:paraId="7E84D113">
            <w:pPr>
              <w:spacing w:line="440" w:lineRule="exact"/>
              <w:rPr>
                <w:rFonts w:hint="eastAsia" w:ascii="宋体" w:hAnsi="宋体" w:eastAsia="宋体" w:cs="宋体"/>
                <w:i w:val="0"/>
                <w:iCs w:val="0"/>
                <w:color w:val="auto"/>
                <w:kern w:val="2"/>
                <w:sz w:val="24"/>
                <w:szCs w:val="24"/>
                <w:highlight w:val="none"/>
                <w:lang w:val="en-US" w:eastAsia="zh-CN"/>
              </w:rPr>
            </w:pPr>
            <w:r>
              <w:rPr>
                <w:rFonts w:hint="eastAsia" w:ascii="宋体" w:hAnsi="宋体" w:cs="宋体"/>
                <w:i w:val="0"/>
                <w:iCs w:val="0"/>
                <w:color w:val="auto"/>
                <w:kern w:val="2"/>
                <w:sz w:val="24"/>
                <w:szCs w:val="24"/>
                <w:highlight w:val="none"/>
              </w:rPr>
              <w:t>详见第</w:t>
            </w:r>
            <w:r>
              <w:rPr>
                <w:rFonts w:hint="eastAsia" w:ascii="宋体" w:hAnsi="宋体" w:cs="宋体"/>
                <w:i w:val="0"/>
                <w:iCs w:val="0"/>
                <w:color w:val="auto"/>
                <w:kern w:val="2"/>
                <w:sz w:val="24"/>
                <w:szCs w:val="24"/>
                <w:highlight w:val="none"/>
                <w:lang w:val="en-US" w:eastAsia="zh-CN"/>
              </w:rPr>
              <w:t>一</w:t>
            </w:r>
            <w:r>
              <w:rPr>
                <w:rFonts w:hint="eastAsia" w:ascii="宋体" w:hAnsi="宋体" w:cs="宋体"/>
                <w:i w:val="0"/>
                <w:iCs w:val="0"/>
                <w:color w:val="auto"/>
                <w:kern w:val="2"/>
                <w:sz w:val="24"/>
                <w:szCs w:val="24"/>
                <w:highlight w:val="none"/>
              </w:rPr>
              <w:t>章“</w:t>
            </w:r>
            <w:r>
              <w:rPr>
                <w:rFonts w:hint="eastAsia" w:ascii="宋体" w:hAnsi="宋体" w:cs="宋体"/>
                <w:i w:val="0"/>
                <w:iCs w:val="0"/>
                <w:color w:val="auto"/>
                <w:kern w:val="2"/>
                <w:sz w:val="24"/>
                <w:szCs w:val="24"/>
                <w:highlight w:val="none"/>
                <w:lang w:eastAsia="zh-CN"/>
              </w:rPr>
              <w:t>招标公告</w:t>
            </w:r>
            <w:r>
              <w:rPr>
                <w:rFonts w:hint="eastAsia" w:ascii="宋体" w:hAnsi="宋体" w:cs="宋体"/>
                <w:i w:val="0"/>
                <w:iCs w:val="0"/>
                <w:color w:val="auto"/>
                <w:kern w:val="2"/>
                <w:sz w:val="24"/>
                <w:szCs w:val="24"/>
                <w:highlight w:val="none"/>
              </w:rPr>
              <w:t>”</w:t>
            </w:r>
          </w:p>
        </w:tc>
      </w:tr>
      <w:tr w14:paraId="4E74CF1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A7A0F5C">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4.2.2</w:t>
            </w:r>
          </w:p>
        </w:tc>
        <w:tc>
          <w:tcPr>
            <w:tcW w:w="2024" w:type="dxa"/>
            <w:tcBorders>
              <w:top w:val="single" w:color="auto" w:sz="8" w:space="0"/>
              <w:left w:val="nil"/>
              <w:bottom w:val="single" w:color="auto" w:sz="8" w:space="0"/>
              <w:right w:val="single" w:color="auto" w:sz="8" w:space="0"/>
            </w:tcBorders>
            <w:vAlign w:val="center"/>
          </w:tcPr>
          <w:p w14:paraId="1BBF94E1">
            <w:pPr>
              <w:spacing w:line="440" w:lineRule="exact"/>
              <w:rPr>
                <w:rFonts w:ascii="宋体" w:hAnsi="宋体" w:cs="宋体"/>
                <w:i w:val="0"/>
                <w:iCs w:val="0"/>
                <w:color w:val="auto"/>
                <w:kern w:val="2"/>
                <w:sz w:val="24"/>
                <w:szCs w:val="24"/>
                <w:highlight w:val="none"/>
                <w:u w:val="none"/>
              </w:rPr>
            </w:pPr>
            <w:r>
              <w:rPr>
                <w:rFonts w:hint="eastAsia" w:ascii="宋体" w:hAnsi="宋体" w:cs="宋体"/>
                <w:i w:val="0"/>
                <w:iCs w:val="0"/>
                <w:color w:val="auto"/>
                <w:kern w:val="2"/>
                <w:sz w:val="24"/>
                <w:szCs w:val="24"/>
                <w:highlight w:val="none"/>
                <w:u w:val="none"/>
                <w:lang w:eastAsia="zh-CN"/>
              </w:rPr>
              <w:t>投标</w:t>
            </w:r>
            <w:r>
              <w:rPr>
                <w:rFonts w:hint="eastAsia" w:ascii="宋体" w:hAnsi="宋体" w:cs="宋体"/>
                <w:i w:val="0"/>
                <w:iCs w:val="0"/>
                <w:color w:val="auto"/>
                <w:kern w:val="2"/>
                <w:sz w:val="24"/>
                <w:szCs w:val="24"/>
                <w:highlight w:val="none"/>
                <w:u w:val="none"/>
              </w:rPr>
              <w:t>文件递交时间和地点</w:t>
            </w:r>
          </w:p>
        </w:tc>
        <w:tc>
          <w:tcPr>
            <w:tcW w:w="6799" w:type="dxa"/>
            <w:tcBorders>
              <w:top w:val="single" w:color="auto" w:sz="8" w:space="0"/>
              <w:left w:val="nil"/>
              <w:bottom w:val="single" w:color="auto" w:sz="8" w:space="0"/>
              <w:right w:val="single" w:color="auto" w:sz="8" w:space="0"/>
            </w:tcBorders>
            <w:vAlign w:val="center"/>
          </w:tcPr>
          <w:p w14:paraId="221975D0">
            <w:pPr>
              <w:spacing w:line="440" w:lineRule="exact"/>
              <w:rPr>
                <w:rFonts w:ascii="宋体" w:hAnsi="宋体" w:cs="宋体"/>
                <w:i w:val="0"/>
                <w:iCs w:val="0"/>
                <w:color w:val="auto"/>
                <w:kern w:val="2"/>
                <w:sz w:val="24"/>
                <w:szCs w:val="24"/>
                <w:highlight w:val="none"/>
                <w:u w:val="none"/>
              </w:rPr>
            </w:pPr>
            <w:r>
              <w:rPr>
                <w:rFonts w:hint="eastAsia" w:ascii="宋体" w:hAnsi="宋体" w:cs="宋体"/>
                <w:i w:val="0"/>
                <w:iCs w:val="0"/>
                <w:color w:val="auto"/>
                <w:kern w:val="2"/>
                <w:sz w:val="24"/>
                <w:szCs w:val="24"/>
                <w:highlight w:val="none"/>
                <w:u w:val="none"/>
              </w:rPr>
              <w:t>详见第一章“</w:t>
            </w:r>
            <w:r>
              <w:rPr>
                <w:rFonts w:hint="eastAsia" w:ascii="宋体" w:hAnsi="宋体" w:cs="宋体"/>
                <w:i w:val="0"/>
                <w:iCs w:val="0"/>
                <w:color w:val="auto"/>
                <w:kern w:val="2"/>
                <w:sz w:val="24"/>
                <w:szCs w:val="24"/>
                <w:highlight w:val="none"/>
                <w:u w:val="none"/>
                <w:lang w:eastAsia="zh-CN"/>
              </w:rPr>
              <w:t>招标公告</w:t>
            </w:r>
            <w:r>
              <w:rPr>
                <w:rFonts w:hint="eastAsia" w:ascii="宋体" w:hAnsi="宋体" w:cs="宋体"/>
                <w:i w:val="0"/>
                <w:iCs w:val="0"/>
                <w:color w:val="auto"/>
                <w:kern w:val="2"/>
                <w:sz w:val="24"/>
                <w:szCs w:val="24"/>
                <w:highlight w:val="none"/>
                <w:u w:val="none"/>
              </w:rPr>
              <w:t>”</w:t>
            </w:r>
          </w:p>
        </w:tc>
      </w:tr>
      <w:tr w14:paraId="34C3D650">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075247FA">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4.2.3</w:t>
            </w:r>
          </w:p>
        </w:tc>
        <w:tc>
          <w:tcPr>
            <w:tcW w:w="2024" w:type="dxa"/>
            <w:tcBorders>
              <w:top w:val="single" w:color="auto" w:sz="8" w:space="0"/>
              <w:left w:val="nil"/>
              <w:bottom w:val="single" w:color="auto" w:sz="8" w:space="0"/>
              <w:right w:val="single" w:color="auto" w:sz="8" w:space="0"/>
            </w:tcBorders>
            <w:vAlign w:val="center"/>
          </w:tcPr>
          <w:p w14:paraId="66023204">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投标</w:t>
            </w:r>
            <w:r>
              <w:rPr>
                <w:rFonts w:hint="eastAsia" w:ascii="宋体" w:hAnsi="宋体" w:cs="宋体"/>
                <w:i w:val="0"/>
                <w:iCs w:val="0"/>
                <w:color w:val="auto"/>
                <w:kern w:val="2"/>
                <w:sz w:val="24"/>
                <w:szCs w:val="24"/>
                <w:highlight w:val="none"/>
              </w:rPr>
              <w:t>文件是否退还</w:t>
            </w:r>
          </w:p>
        </w:tc>
        <w:tc>
          <w:tcPr>
            <w:tcW w:w="6799" w:type="dxa"/>
            <w:tcBorders>
              <w:top w:val="single" w:color="auto" w:sz="8" w:space="0"/>
              <w:left w:val="nil"/>
              <w:bottom w:val="single" w:color="auto" w:sz="8" w:space="0"/>
              <w:right w:val="single" w:color="auto" w:sz="8" w:space="0"/>
            </w:tcBorders>
            <w:vAlign w:val="center"/>
          </w:tcPr>
          <w:p w14:paraId="609E78EA">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否</w:t>
            </w:r>
          </w:p>
        </w:tc>
      </w:tr>
      <w:tr w14:paraId="5DDC1495">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345ECCFB">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5.1</w:t>
            </w:r>
          </w:p>
        </w:tc>
        <w:tc>
          <w:tcPr>
            <w:tcW w:w="2024" w:type="dxa"/>
            <w:tcBorders>
              <w:top w:val="single" w:color="auto" w:sz="8" w:space="0"/>
              <w:left w:val="nil"/>
              <w:bottom w:val="single" w:color="auto" w:sz="8" w:space="0"/>
              <w:right w:val="single" w:color="auto" w:sz="8" w:space="0"/>
            </w:tcBorders>
            <w:vAlign w:val="center"/>
          </w:tcPr>
          <w:p w14:paraId="2653670D">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时间和地点</w:t>
            </w:r>
          </w:p>
        </w:tc>
        <w:tc>
          <w:tcPr>
            <w:tcW w:w="6799" w:type="dxa"/>
            <w:tcBorders>
              <w:top w:val="single" w:color="auto" w:sz="8" w:space="0"/>
              <w:left w:val="nil"/>
              <w:bottom w:val="single" w:color="auto" w:sz="8" w:space="0"/>
              <w:right w:val="single" w:color="auto" w:sz="8" w:space="0"/>
            </w:tcBorders>
            <w:vAlign w:val="center"/>
          </w:tcPr>
          <w:p w14:paraId="6EC5D890">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时间：同投标截止时间</w:t>
            </w:r>
          </w:p>
          <w:p w14:paraId="52C8C38C">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地点：同投标文件递交地点</w:t>
            </w:r>
          </w:p>
        </w:tc>
      </w:tr>
      <w:tr w14:paraId="2C5B15A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651B79C1">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5.2(4)</w:t>
            </w:r>
          </w:p>
        </w:tc>
        <w:tc>
          <w:tcPr>
            <w:tcW w:w="2024" w:type="dxa"/>
            <w:tcBorders>
              <w:top w:val="single" w:color="auto" w:sz="8" w:space="0"/>
              <w:left w:val="nil"/>
              <w:bottom w:val="single" w:color="auto" w:sz="8" w:space="0"/>
              <w:right w:val="single" w:color="auto" w:sz="8" w:space="0"/>
            </w:tcBorders>
            <w:vAlign w:val="center"/>
          </w:tcPr>
          <w:p w14:paraId="52ADC023">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顺序</w:t>
            </w:r>
          </w:p>
        </w:tc>
        <w:tc>
          <w:tcPr>
            <w:tcW w:w="6799" w:type="dxa"/>
            <w:tcBorders>
              <w:top w:val="single" w:color="auto" w:sz="8" w:space="0"/>
              <w:left w:val="nil"/>
              <w:bottom w:val="single" w:color="auto" w:sz="8" w:space="0"/>
              <w:right w:val="single" w:color="auto" w:sz="8" w:space="0"/>
            </w:tcBorders>
            <w:vAlign w:val="center"/>
          </w:tcPr>
          <w:p w14:paraId="60DBB45F">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开标</w:t>
            </w:r>
            <w:r>
              <w:rPr>
                <w:rFonts w:hint="eastAsia" w:ascii="宋体" w:hAnsi="宋体" w:cs="宋体"/>
                <w:i w:val="0"/>
                <w:iCs w:val="0"/>
                <w:color w:val="auto"/>
                <w:kern w:val="2"/>
                <w:sz w:val="24"/>
                <w:szCs w:val="24"/>
                <w:highlight w:val="none"/>
              </w:rPr>
              <w:t>顺序：</w:t>
            </w:r>
            <w:r>
              <w:rPr>
                <w:rFonts w:hint="eastAsia" w:ascii="宋体" w:hAnsi="宋体" w:cs="宋体"/>
                <w:i w:val="0"/>
                <w:iCs w:val="0"/>
                <w:color w:val="auto"/>
                <w:kern w:val="2"/>
                <w:sz w:val="24"/>
                <w:szCs w:val="24"/>
                <w:highlight w:val="none"/>
              </w:rPr>
              <w:sym w:font="Wingdings 2" w:char="0052"/>
            </w:r>
            <w:r>
              <w:rPr>
                <w:rFonts w:hint="eastAsia" w:ascii="宋体" w:hAnsi="宋体" w:cs="宋体"/>
                <w:i w:val="0"/>
                <w:iCs w:val="0"/>
                <w:color w:val="auto"/>
                <w:kern w:val="2"/>
                <w:sz w:val="24"/>
                <w:szCs w:val="24"/>
                <w:highlight w:val="none"/>
              </w:rPr>
              <w:t>随机开启</w:t>
            </w:r>
          </w:p>
          <w:p w14:paraId="5599E542">
            <w:pPr>
              <w:spacing w:line="440" w:lineRule="exact"/>
              <w:ind w:firstLine="1200" w:firstLineChars="500"/>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□按递交先后顺序开启</w:t>
            </w:r>
          </w:p>
          <w:p w14:paraId="61403112">
            <w:pPr>
              <w:spacing w:line="440" w:lineRule="exact"/>
              <w:ind w:firstLine="1200" w:firstLineChars="500"/>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□其他开启方式：</w:t>
            </w:r>
            <w:r>
              <w:rPr>
                <w:rFonts w:hint="eastAsia" w:ascii="宋体" w:hAnsi="宋体" w:cs="宋体"/>
                <w:i w:val="0"/>
                <w:iCs w:val="0"/>
                <w:color w:val="auto"/>
                <w:kern w:val="2"/>
                <w:sz w:val="24"/>
                <w:szCs w:val="24"/>
                <w:highlight w:val="none"/>
                <w:u w:val="single"/>
              </w:rPr>
              <w:t xml:space="preserve">          </w:t>
            </w:r>
          </w:p>
        </w:tc>
      </w:tr>
      <w:tr w14:paraId="42F637CD">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765911C2">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6.1.1</w:t>
            </w:r>
          </w:p>
        </w:tc>
        <w:tc>
          <w:tcPr>
            <w:tcW w:w="2024" w:type="dxa"/>
            <w:tcBorders>
              <w:top w:val="single" w:color="auto" w:sz="8" w:space="0"/>
              <w:left w:val="nil"/>
              <w:bottom w:val="single" w:color="auto" w:sz="8" w:space="0"/>
              <w:right w:val="single" w:color="auto" w:sz="8" w:space="0"/>
            </w:tcBorders>
            <w:vAlign w:val="center"/>
          </w:tcPr>
          <w:p w14:paraId="5A5D4310">
            <w:pPr>
              <w:pStyle w:val="58"/>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评标</w:t>
            </w:r>
            <w:r>
              <w:rPr>
                <w:rFonts w:hint="eastAsia"/>
                <w:i w:val="0"/>
                <w:iCs w:val="0"/>
                <w:color w:val="auto"/>
                <w:sz w:val="24"/>
                <w:szCs w:val="24"/>
                <w:highlight w:val="none"/>
              </w:rPr>
              <w:t>委员会</w:t>
            </w:r>
            <w:r>
              <w:rPr>
                <w:rFonts w:hint="eastAsia"/>
                <w:i w:val="0"/>
                <w:iCs w:val="0"/>
                <w:color w:val="auto"/>
                <w:sz w:val="24"/>
                <w:szCs w:val="24"/>
                <w:highlight w:val="none"/>
                <w:lang w:eastAsia="zh-CN"/>
              </w:rPr>
              <w:t>成员人数</w:t>
            </w:r>
          </w:p>
        </w:tc>
        <w:tc>
          <w:tcPr>
            <w:tcW w:w="6799" w:type="dxa"/>
            <w:tcBorders>
              <w:top w:val="single" w:color="auto" w:sz="8" w:space="0"/>
              <w:left w:val="nil"/>
              <w:bottom w:val="single" w:color="auto" w:sz="8" w:space="0"/>
              <w:right w:val="single" w:color="auto" w:sz="8" w:space="0"/>
            </w:tcBorders>
            <w:vAlign w:val="center"/>
          </w:tcPr>
          <w:p w14:paraId="446F8CFD">
            <w:pPr>
              <w:pStyle w:val="58"/>
              <w:tabs>
                <w:tab w:val="left" w:pos="2309"/>
                <w:tab w:val="left" w:pos="2729"/>
                <w:tab w:val="left" w:pos="3826"/>
              </w:tabs>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5人以上单数</w:t>
            </w:r>
          </w:p>
        </w:tc>
      </w:tr>
      <w:tr w14:paraId="1F101BDC">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270564F">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6.3.3</w:t>
            </w:r>
          </w:p>
        </w:tc>
        <w:tc>
          <w:tcPr>
            <w:tcW w:w="2024" w:type="dxa"/>
            <w:tcBorders>
              <w:top w:val="single" w:color="auto" w:sz="8" w:space="0"/>
              <w:left w:val="nil"/>
              <w:bottom w:val="single" w:color="auto" w:sz="8" w:space="0"/>
              <w:right w:val="single" w:color="auto" w:sz="8" w:space="0"/>
            </w:tcBorders>
            <w:vAlign w:val="center"/>
          </w:tcPr>
          <w:p w14:paraId="4932E853">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委员会推荐中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候选人的人数</w:t>
            </w:r>
          </w:p>
        </w:tc>
        <w:tc>
          <w:tcPr>
            <w:tcW w:w="6799" w:type="dxa"/>
            <w:tcBorders>
              <w:top w:val="single" w:color="auto" w:sz="8" w:space="0"/>
              <w:left w:val="nil"/>
              <w:bottom w:val="single" w:color="auto" w:sz="8" w:space="0"/>
              <w:right w:val="single" w:color="auto" w:sz="8" w:space="0"/>
            </w:tcBorders>
            <w:vAlign w:val="center"/>
          </w:tcPr>
          <w:p w14:paraId="6FD10B89">
            <w:pPr>
              <w:pStyle w:val="56"/>
              <w:spacing w:line="440" w:lineRule="exact"/>
              <w:jc w:val="both"/>
              <w:rPr>
                <w:rFonts w:ascii="宋体" w:hAnsi="宋体" w:cs="宋体"/>
                <w:i w:val="0"/>
                <w:iCs w:val="0"/>
                <w:color w:val="auto"/>
                <w:sz w:val="24"/>
                <w:szCs w:val="24"/>
                <w:highlight w:val="none"/>
                <w:u w:val="single"/>
              </w:rPr>
            </w:pPr>
            <w:r>
              <w:rPr>
                <w:rFonts w:hint="eastAsia" w:ascii="宋体" w:hAnsi="宋体" w:cs="宋体"/>
                <w:i w:val="0"/>
                <w:iCs w:val="0"/>
                <w:color w:val="auto"/>
                <w:kern w:val="2"/>
                <w:sz w:val="24"/>
                <w:szCs w:val="24"/>
                <w:highlight w:val="none"/>
              </w:rPr>
              <w:t>由</w:t>
            </w: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委员会推荐1—3名中标候选人，由</w:t>
            </w:r>
            <w:r>
              <w:rPr>
                <w:rFonts w:hint="eastAsia" w:ascii="宋体" w:hAnsi="宋体" w:cs="宋体"/>
                <w:i w:val="0"/>
                <w:iCs w:val="0"/>
                <w:color w:val="auto"/>
                <w:kern w:val="2"/>
                <w:sz w:val="24"/>
                <w:szCs w:val="24"/>
                <w:highlight w:val="none"/>
                <w:lang w:eastAsia="zh-CN"/>
              </w:rPr>
              <w:t>采购人</w:t>
            </w:r>
            <w:r>
              <w:rPr>
                <w:rFonts w:hint="eastAsia" w:ascii="宋体" w:hAnsi="宋体" w:cs="宋体"/>
                <w:i w:val="0"/>
                <w:iCs w:val="0"/>
                <w:color w:val="auto"/>
                <w:kern w:val="2"/>
                <w:sz w:val="24"/>
                <w:szCs w:val="24"/>
                <w:highlight w:val="none"/>
              </w:rPr>
              <w:t>根据相关法律法规确定中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人。</w:t>
            </w:r>
          </w:p>
        </w:tc>
      </w:tr>
      <w:tr w14:paraId="172EB783">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530F106">
            <w:pPr>
              <w:pStyle w:val="58"/>
              <w:spacing w:line="440" w:lineRule="exact"/>
              <w:jc w:val="center"/>
              <w:rPr>
                <w:i w:val="0"/>
                <w:iCs w:val="0"/>
                <w:color w:val="auto"/>
                <w:kern w:val="2"/>
                <w:sz w:val="24"/>
                <w:szCs w:val="24"/>
                <w:highlight w:val="none"/>
              </w:rPr>
            </w:pPr>
            <w:r>
              <w:rPr>
                <w:rFonts w:hint="eastAsia"/>
                <w:i w:val="0"/>
                <w:iCs w:val="0"/>
                <w:color w:val="auto"/>
                <w:sz w:val="24"/>
                <w:szCs w:val="24"/>
                <w:highlight w:val="none"/>
              </w:rPr>
              <w:t>7.1</w:t>
            </w:r>
          </w:p>
        </w:tc>
        <w:tc>
          <w:tcPr>
            <w:tcW w:w="2024" w:type="dxa"/>
            <w:tcBorders>
              <w:top w:val="single" w:color="auto" w:sz="8" w:space="0"/>
              <w:left w:val="nil"/>
              <w:bottom w:val="single" w:color="auto" w:sz="8" w:space="0"/>
              <w:right w:val="single" w:color="auto" w:sz="8" w:space="0"/>
            </w:tcBorders>
            <w:vAlign w:val="center"/>
          </w:tcPr>
          <w:p w14:paraId="7C3DACE6">
            <w:pPr>
              <w:pStyle w:val="58"/>
              <w:spacing w:line="440" w:lineRule="exact"/>
              <w:jc w:val="center"/>
              <w:rPr>
                <w:i w:val="0"/>
                <w:iCs w:val="0"/>
                <w:color w:val="auto"/>
                <w:kern w:val="2"/>
                <w:sz w:val="24"/>
                <w:szCs w:val="24"/>
                <w:highlight w:val="none"/>
                <w:lang w:eastAsia="zh-CN"/>
              </w:rPr>
            </w:pPr>
            <w:r>
              <w:rPr>
                <w:rFonts w:hint="eastAsia"/>
                <w:i w:val="0"/>
                <w:iCs w:val="0"/>
                <w:color w:val="auto"/>
                <w:sz w:val="24"/>
                <w:szCs w:val="24"/>
                <w:highlight w:val="none"/>
                <w:lang w:eastAsia="zh-CN"/>
              </w:rPr>
              <w:t>中标候选人公示媒介及期限</w:t>
            </w:r>
          </w:p>
        </w:tc>
        <w:tc>
          <w:tcPr>
            <w:tcW w:w="6799" w:type="dxa"/>
            <w:tcBorders>
              <w:top w:val="single" w:color="auto" w:sz="8" w:space="0"/>
              <w:left w:val="nil"/>
              <w:bottom w:val="single" w:color="auto" w:sz="8" w:space="0"/>
              <w:right w:val="single" w:color="auto" w:sz="8" w:space="0"/>
            </w:tcBorders>
            <w:vAlign w:val="center"/>
          </w:tcPr>
          <w:p w14:paraId="1AA5974D">
            <w:pPr>
              <w:pStyle w:val="58"/>
              <w:tabs>
                <w:tab w:val="left" w:pos="2100"/>
              </w:tabs>
              <w:spacing w:line="440" w:lineRule="exact"/>
              <w:rPr>
                <w:i w:val="0"/>
                <w:iCs w:val="0"/>
                <w:color w:val="auto"/>
                <w:sz w:val="24"/>
                <w:szCs w:val="24"/>
                <w:highlight w:val="none"/>
                <w:lang w:eastAsia="zh-CN"/>
              </w:rPr>
            </w:pPr>
            <w:r>
              <w:rPr>
                <w:rFonts w:hint="eastAsia"/>
                <w:i w:val="0"/>
                <w:iCs w:val="0"/>
                <w:color w:val="auto"/>
                <w:sz w:val="24"/>
                <w:szCs w:val="24"/>
                <w:highlight w:val="none"/>
                <w:lang w:eastAsia="zh-CN"/>
              </w:rPr>
              <w:t>同招标公告发布媒介一致</w:t>
            </w:r>
          </w:p>
          <w:p w14:paraId="4581D6B0">
            <w:pPr>
              <w:pStyle w:val="58"/>
              <w:tabs>
                <w:tab w:val="left" w:pos="2100"/>
              </w:tabs>
              <w:spacing w:line="440" w:lineRule="exact"/>
              <w:rPr>
                <w:i w:val="0"/>
                <w:iCs w:val="0"/>
                <w:color w:val="auto"/>
                <w:kern w:val="2"/>
                <w:sz w:val="24"/>
                <w:szCs w:val="24"/>
                <w:highlight w:val="none"/>
                <w:lang w:eastAsia="zh-CN"/>
              </w:rPr>
            </w:pPr>
            <w:r>
              <w:rPr>
                <w:rFonts w:hint="eastAsia"/>
                <w:i w:val="0"/>
                <w:iCs w:val="0"/>
                <w:color w:val="auto"/>
                <w:sz w:val="24"/>
                <w:szCs w:val="24"/>
                <w:highlight w:val="none"/>
                <w:lang w:eastAsia="zh-CN"/>
              </w:rPr>
              <w:t>公示期限：</w:t>
            </w:r>
            <w:r>
              <w:rPr>
                <w:rFonts w:hint="eastAsia"/>
                <w:i w:val="0"/>
                <w:iCs w:val="0"/>
                <w:color w:val="auto"/>
                <w:sz w:val="24"/>
                <w:szCs w:val="24"/>
                <w:highlight w:val="none"/>
                <w:lang w:val="en-US" w:eastAsia="zh-CN"/>
              </w:rPr>
              <w:t>1</w:t>
            </w:r>
            <w:r>
              <w:rPr>
                <w:rFonts w:hint="eastAsia"/>
                <w:i w:val="0"/>
                <w:iCs w:val="0"/>
                <w:color w:val="auto"/>
                <w:sz w:val="24"/>
                <w:szCs w:val="24"/>
                <w:highlight w:val="none"/>
                <w:lang w:eastAsia="zh-CN"/>
              </w:rPr>
              <w:t>个日历天</w:t>
            </w:r>
          </w:p>
        </w:tc>
      </w:tr>
      <w:tr w14:paraId="32F70A9F">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9E3BD5F">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7.4</w:t>
            </w:r>
          </w:p>
        </w:tc>
        <w:tc>
          <w:tcPr>
            <w:tcW w:w="2024" w:type="dxa"/>
            <w:tcBorders>
              <w:top w:val="single" w:color="auto" w:sz="8" w:space="0"/>
              <w:left w:val="nil"/>
              <w:bottom w:val="single" w:color="auto" w:sz="8" w:space="0"/>
              <w:right w:val="single" w:color="auto" w:sz="8" w:space="0"/>
            </w:tcBorders>
            <w:vAlign w:val="center"/>
          </w:tcPr>
          <w:p w14:paraId="2E4EE009">
            <w:pPr>
              <w:spacing w:line="440" w:lineRule="exact"/>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是否授权</w:t>
            </w:r>
            <w:r>
              <w:rPr>
                <w:rFonts w:hint="eastAsia" w:ascii="宋体" w:hAnsi="宋体" w:cs="宋体"/>
                <w:i w:val="0"/>
                <w:iCs w:val="0"/>
                <w:color w:val="auto"/>
                <w:kern w:val="2"/>
                <w:sz w:val="24"/>
                <w:szCs w:val="24"/>
                <w:highlight w:val="none"/>
                <w:lang w:eastAsia="zh-CN"/>
              </w:rPr>
              <w:t>评标</w:t>
            </w:r>
            <w:r>
              <w:rPr>
                <w:rFonts w:hint="eastAsia" w:ascii="宋体" w:hAnsi="宋体" w:cs="宋体"/>
                <w:i w:val="0"/>
                <w:iCs w:val="0"/>
                <w:color w:val="auto"/>
                <w:kern w:val="2"/>
                <w:sz w:val="24"/>
                <w:szCs w:val="24"/>
                <w:highlight w:val="none"/>
              </w:rPr>
              <w:t>委员会确定中</w:t>
            </w:r>
            <w:r>
              <w:rPr>
                <w:rFonts w:hint="eastAsia" w:ascii="宋体" w:hAnsi="宋体" w:cs="宋体"/>
                <w:i w:val="0"/>
                <w:iCs w:val="0"/>
                <w:color w:val="auto"/>
                <w:kern w:val="2"/>
                <w:sz w:val="24"/>
                <w:szCs w:val="24"/>
                <w:highlight w:val="none"/>
                <w:lang w:eastAsia="zh-CN"/>
              </w:rPr>
              <w:t>选</w:t>
            </w:r>
            <w:r>
              <w:rPr>
                <w:rFonts w:hint="eastAsia" w:ascii="宋体" w:hAnsi="宋体" w:cs="宋体"/>
                <w:i w:val="0"/>
                <w:iCs w:val="0"/>
                <w:color w:val="auto"/>
                <w:kern w:val="2"/>
                <w:sz w:val="24"/>
                <w:szCs w:val="24"/>
                <w:highlight w:val="none"/>
              </w:rPr>
              <w:t>人</w:t>
            </w:r>
          </w:p>
        </w:tc>
        <w:tc>
          <w:tcPr>
            <w:tcW w:w="6799" w:type="dxa"/>
            <w:tcBorders>
              <w:top w:val="single" w:color="auto" w:sz="8" w:space="0"/>
              <w:left w:val="nil"/>
              <w:bottom w:val="single" w:color="auto" w:sz="8" w:space="0"/>
              <w:right w:val="single" w:color="auto" w:sz="8" w:space="0"/>
            </w:tcBorders>
            <w:vAlign w:val="center"/>
          </w:tcPr>
          <w:p w14:paraId="1A789E5A">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□是</w:t>
            </w:r>
          </w:p>
          <w:p w14:paraId="691D49EE">
            <w:pPr>
              <w:spacing w:line="440" w:lineRule="exact"/>
              <w:jc w:val="both"/>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sym w:font="Wingdings 2" w:char="0052"/>
            </w:r>
            <w:r>
              <w:rPr>
                <w:rFonts w:hint="eastAsia" w:ascii="宋体" w:hAnsi="宋体" w:cs="宋体"/>
                <w:i w:val="0"/>
                <w:iCs w:val="0"/>
                <w:color w:val="auto"/>
                <w:kern w:val="2"/>
                <w:sz w:val="24"/>
                <w:szCs w:val="24"/>
                <w:highlight w:val="none"/>
              </w:rPr>
              <w:t>否</w:t>
            </w:r>
          </w:p>
        </w:tc>
      </w:tr>
      <w:tr w14:paraId="50EE919A">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4A8C1131">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7.6.1</w:t>
            </w:r>
          </w:p>
        </w:tc>
        <w:tc>
          <w:tcPr>
            <w:tcW w:w="2024" w:type="dxa"/>
            <w:tcBorders>
              <w:top w:val="single" w:color="auto" w:sz="8" w:space="0"/>
              <w:left w:val="nil"/>
              <w:bottom w:val="single" w:color="auto" w:sz="8" w:space="0"/>
              <w:right w:val="single" w:color="auto" w:sz="8" w:space="0"/>
            </w:tcBorders>
            <w:vAlign w:val="center"/>
          </w:tcPr>
          <w:p w14:paraId="5AD9DFA9">
            <w:pPr>
              <w:pStyle w:val="58"/>
              <w:spacing w:line="440" w:lineRule="exact"/>
              <w:rPr>
                <w:i w:val="0"/>
                <w:iCs w:val="0"/>
                <w:color w:val="auto"/>
                <w:kern w:val="2"/>
                <w:sz w:val="24"/>
                <w:szCs w:val="24"/>
                <w:highlight w:val="none"/>
                <w:lang w:eastAsia="zh-CN"/>
              </w:rPr>
            </w:pPr>
            <w:r>
              <w:rPr>
                <w:rFonts w:hint="eastAsia"/>
                <w:i w:val="0"/>
                <w:iCs w:val="0"/>
                <w:color w:val="auto"/>
                <w:kern w:val="2"/>
                <w:sz w:val="24"/>
                <w:szCs w:val="24"/>
                <w:highlight w:val="none"/>
                <w:lang w:eastAsia="zh-CN"/>
              </w:rPr>
              <w:t>履约保证金</w:t>
            </w:r>
          </w:p>
        </w:tc>
        <w:tc>
          <w:tcPr>
            <w:tcW w:w="6799" w:type="dxa"/>
            <w:tcBorders>
              <w:top w:val="single" w:color="auto" w:sz="8" w:space="0"/>
              <w:left w:val="nil"/>
              <w:bottom w:val="single" w:color="auto" w:sz="8" w:space="0"/>
              <w:right w:val="single" w:color="auto" w:sz="8" w:space="0"/>
            </w:tcBorders>
            <w:vAlign w:val="center"/>
          </w:tcPr>
          <w:p w14:paraId="1CA4CC03">
            <w:pPr>
              <w:pStyle w:val="58"/>
              <w:spacing w:line="440" w:lineRule="exact"/>
              <w:rPr>
                <w:i w:val="0"/>
                <w:iCs w:val="0"/>
                <w:color w:val="auto"/>
                <w:kern w:val="2"/>
                <w:sz w:val="24"/>
                <w:szCs w:val="24"/>
                <w:highlight w:val="none"/>
                <w:lang w:eastAsia="zh-CN"/>
              </w:rPr>
            </w:pPr>
            <w:r>
              <w:rPr>
                <w:rFonts w:hint="eastAsia"/>
                <w:i w:val="0"/>
                <w:iCs w:val="0"/>
                <w:color w:val="auto"/>
                <w:kern w:val="2"/>
                <w:sz w:val="24"/>
                <w:szCs w:val="24"/>
                <w:highlight w:val="none"/>
                <w:lang w:eastAsia="zh-CN"/>
              </w:rPr>
              <w:t>不要求</w:t>
            </w:r>
          </w:p>
        </w:tc>
      </w:tr>
      <w:tr w14:paraId="5008371B">
        <w:tblPrEx>
          <w:tblCellMar>
            <w:top w:w="0" w:type="dxa"/>
            <w:left w:w="0" w:type="dxa"/>
            <w:bottom w:w="0" w:type="dxa"/>
            <w:right w:w="0" w:type="dxa"/>
          </w:tblCellMar>
        </w:tblPrEx>
        <w:trPr>
          <w:trHeight w:val="397" w:hRule="atLeast"/>
          <w:jc w:val="center"/>
        </w:trPr>
        <w:tc>
          <w:tcPr>
            <w:tcW w:w="1059" w:type="dxa"/>
            <w:tcBorders>
              <w:top w:val="single" w:color="auto" w:sz="8" w:space="0"/>
              <w:left w:val="single" w:color="auto" w:sz="8" w:space="0"/>
              <w:bottom w:val="single" w:color="auto" w:sz="8" w:space="0"/>
              <w:right w:val="single" w:color="auto" w:sz="8" w:space="0"/>
            </w:tcBorders>
            <w:vAlign w:val="center"/>
          </w:tcPr>
          <w:p w14:paraId="24C740CE">
            <w:pPr>
              <w:spacing w:line="440" w:lineRule="exact"/>
              <w:jc w:val="center"/>
              <w:rPr>
                <w:rFonts w:ascii="宋体" w:hAnsi="宋体" w:cs="宋体"/>
                <w:i w:val="0"/>
                <w:iCs w:val="0"/>
                <w:color w:val="auto"/>
                <w:kern w:val="2"/>
                <w:sz w:val="24"/>
                <w:szCs w:val="24"/>
                <w:highlight w:val="none"/>
              </w:rPr>
            </w:pPr>
            <w:r>
              <w:rPr>
                <w:rFonts w:hint="eastAsia" w:ascii="宋体" w:hAnsi="宋体" w:cs="宋体"/>
                <w:i w:val="0"/>
                <w:iCs w:val="0"/>
                <w:color w:val="auto"/>
                <w:kern w:val="2"/>
                <w:sz w:val="24"/>
                <w:szCs w:val="24"/>
                <w:highlight w:val="none"/>
              </w:rPr>
              <w:t>9</w:t>
            </w:r>
          </w:p>
        </w:tc>
        <w:tc>
          <w:tcPr>
            <w:tcW w:w="8823" w:type="dxa"/>
            <w:gridSpan w:val="2"/>
            <w:tcBorders>
              <w:top w:val="single" w:color="auto" w:sz="8" w:space="0"/>
              <w:left w:val="nil"/>
              <w:bottom w:val="single" w:color="auto" w:sz="8" w:space="0"/>
              <w:right w:val="single" w:color="auto" w:sz="8" w:space="0"/>
            </w:tcBorders>
            <w:vAlign w:val="center"/>
          </w:tcPr>
          <w:p w14:paraId="52197826">
            <w:pPr>
              <w:spacing w:line="440" w:lineRule="exact"/>
              <w:rPr>
                <w:rFonts w:ascii="宋体" w:hAnsi="宋体" w:cs="宋体"/>
                <w:i w:val="0"/>
                <w:iCs w:val="0"/>
                <w:color w:val="auto"/>
                <w:kern w:val="2"/>
                <w:sz w:val="24"/>
                <w:szCs w:val="24"/>
                <w:highlight w:val="none"/>
              </w:rPr>
            </w:pPr>
            <w:r>
              <w:rPr>
                <w:rFonts w:hint="eastAsia" w:ascii="宋体" w:hAnsi="宋体" w:cs="宋体"/>
                <w:b/>
                <w:bCs/>
                <w:i w:val="0"/>
                <w:iCs w:val="0"/>
                <w:color w:val="auto"/>
                <w:kern w:val="2"/>
                <w:sz w:val="24"/>
                <w:szCs w:val="24"/>
                <w:highlight w:val="none"/>
              </w:rPr>
              <w:t>需要补充的其他内容</w:t>
            </w:r>
          </w:p>
        </w:tc>
      </w:tr>
      <w:tr w14:paraId="00C76904">
        <w:tblPrEx>
          <w:tblCellMar>
            <w:top w:w="0" w:type="dxa"/>
            <w:left w:w="0" w:type="dxa"/>
            <w:bottom w:w="0" w:type="dxa"/>
            <w:right w:w="0" w:type="dxa"/>
          </w:tblCellMar>
        </w:tblPrEx>
        <w:trPr>
          <w:trHeight w:val="397" w:hRule="atLeast"/>
          <w:jc w:val="center"/>
        </w:trPr>
        <w:tc>
          <w:tcPr>
            <w:tcW w:w="9882" w:type="dxa"/>
            <w:gridSpan w:val="3"/>
            <w:tcBorders>
              <w:top w:val="single" w:color="auto" w:sz="8" w:space="0"/>
              <w:left w:val="single" w:color="auto" w:sz="8" w:space="0"/>
              <w:bottom w:val="single" w:color="auto" w:sz="8" w:space="0"/>
              <w:right w:val="single" w:color="auto" w:sz="8" w:space="0"/>
            </w:tcBorders>
            <w:vAlign w:val="center"/>
          </w:tcPr>
          <w:p w14:paraId="4AA7E590">
            <w:pPr>
              <w:spacing w:line="440" w:lineRule="exact"/>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w:t>
            </w:r>
          </w:p>
        </w:tc>
      </w:tr>
    </w:tbl>
    <w:p w14:paraId="69C36AE0">
      <w:pPr>
        <w:bidi w:val="0"/>
        <w:jc w:val="center"/>
        <w:rPr>
          <w:rFonts w:hint="eastAsia"/>
          <w:b/>
          <w:bCs/>
          <w:sz w:val="28"/>
          <w:szCs w:val="28"/>
        </w:rPr>
      </w:pPr>
      <w:r>
        <w:rPr>
          <w:rFonts w:hint="eastAsia" w:ascii="宋体" w:hAnsi="宋体" w:eastAsia="宋体" w:cs="宋体"/>
          <w:i w:val="0"/>
          <w:iCs w:val="0"/>
          <w:color w:val="auto"/>
          <w:highlight w:val="none"/>
        </w:rPr>
        <w:br w:type="page"/>
      </w:r>
      <w:bookmarkStart w:id="58" w:name="_Toc27064"/>
      <w:bookmarkEnd w:id="58"/>
      <w:bookmarkStart w:id="59" w:name="_Toc20589"/>
      <w:bookmarkEnd w:id="59"/>
      <w:bookmarkStart w:id="60" w:name="_Toc30210"/>
      <w:bookmarkStart w:id="61" w:name="_Toc19039"/>
      <w:bookmarkStart w:id="62" w:name="_Toc18702"/>
      <w:r>
        <w:rPr>
          <w:rFonts w:hint="eastAsia"/>
          <w:b/>
          <w:bCs/>
          <w:sz w:val="28"/>
          <w:szCs w:val="28"/>
        </w:rPr>
        <w:t>1.总则</w:t>
      </w:r>
      <w:bookmarkEnd w:id="60"/>
      <w:bookmarkEnd w:id="61"/>
      <w:bookmarkEnd w:id="62"/>
    </w:p>
    <w:p w14:paraId="56D2A8DF">
      <w:pPr>
        <w:spacing w:line="360" w:lineRule="auto"/>
        <w:rPr>
          <w:rFonts w:ascii="宋体" w:hAnsi="宋体" w:cs="宋体"/>
          <w:b/>
          <w:i w:val="0"/>
          <w:iCs w:val="0"/>
          <w:color w:val="auto"/>
          <w:sz w:val="24"/>
          <w:szCs w:val="24"/>
          <w:highlight w:val="none"/>
        </w:rPr>
      </w:pPr>
      <w:bookmarkStart w:id="63" w:name="_Toc31335"/>
      <w:bookmarkEnd w:id="63"/>
      <w:bookmarkStart w:id="64" w:name="_Toc700"/>
      <w:r>
        <w:rPr>
          <w:rFonts w:hint="eastAsia" w:ascii="宋体" w:hAnsi="宋体" w:cs="宋体"/>
          <w:b/>
          <w:i w:val="0"/>
          <w:iCs w:val="0"/>
          <w:color w:val="auto"/>
          <w:sz w:val="24"/>
          <w:szCs w:val="24"/>
          <w:highlight w:val="none"/>
        </w:rPr>
        <w:t>1.1 项目概况</w:t>
      </w:r>
      <w:bookmarkEnd w:id="64"/>
    </w:p>
    <w:p w14:paraId="074603D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1.1.1根据有关法律、法规和规章的规定，本项目已具备</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条件，现对本项目进行</w:t>
      </w:r>
      <w:r>
        <w:rPr>
          <w:rFonts w:hint="eastAsia" w:ascii="宋体" w:hAnsi="宋体" w:cs="宋体"/>
          <w:i w:val="0"/>
          <w:iCs w:val="0"/>
          <w:color w:val="auto"/>
          <w:sz w:val="24"/>
          <w:szCs w:val="24"/>
          <w:highlight w:val="none"/>
          <w:lang w:eastAsia="zh-CN"/>
        </w:rPr>
        <w:t>公开招标</w:t>
      </w:r>
      <w:r>
        <w:rPr>
          <w:rFonts w:hint="eastAsia" w:ascii="宋体" w:hAnsi="宋体" w:cs="宋体"/>
          <w:i w:val="0"/>
          <w:iCs w:val="0"/>
          <w:color w:val="auto"/>
          <w:sz w:val="24"/>
          <w:szCs w:val="24"/>
          <w:highlight w:val="none"/>
        </w:rPr>
        <w:t>。</w:t>
      </w:r>
    </w:p>
    <w:p w14:paraId="57915CA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1.1.</w:t>
      </w:r>
      <w:r>
        <w:rPr>
          <w:rFonts w:hint="eastAsia" w:ascii="宋体" w:hAnsi="宋体" w:cs="宋体"/>
          <w:i w:val="0"/>
          <w:iCs w:val="0"/>
          <w:color w:val="auto"/>
          <w:sz w:val="24"/>
          <w:szCs w:val="24"/>
          <w:highlight w:val="none"/>
          <w:lang w:val="en-US" w:eastAsia="zh-CN"/>
        </w:rPr>
        <w:t>2招标</w:t>
      </w:r>
      <w:r>
        <w:rPr>
          <w:rFonts w:hint="eastAsia" w:ascii="宋体" w:hAnsi="宋体" w:cs="宋体"/>
          <w:i w:val="0"/>
          <w:iCs w:val="0"/>
          <w:color w:val="auto"/>
          <w:sz w:val="24"/>
          <w:szCs w:val="24"/>
          <w:highlight w:val="none"/>
        </w:rPr>
        <w:t>项目名称：见投标人须知前附表。</w:t>
      </w:r>
    </w:p>
    <w:p w14:paraId="1C84AA52">
      <w:pPr>
        <w:spacing w:line="360" w:lineRule="auto"/>
        <w:rPr>
          <w:rFonts w:ascii="宋体" w:hAnsi="宋体" w:cs="宋体"/>
          <w:b/>
          <w:i w:val="0"/>
          <w:iCs w:val="0"/>
          <w:color w:val="auto"/>
          <w:sz w:val="24"/>
          <w:szCs w:val="24"/>
          <w:highlight w:val="none"/>
        </w:rPr>
      </w:pPr>
      <w:bookmarkStart w:id="65" w:name="_Toc27395"/>
      <w:bookmarkEnd w:id="65"/>
      <w:bookmarkStart w:id="66" w:name="_Toc28747"/>
      <w:r>
        <w:rPr>
          <w:rFonts w:hint="eastAsia" w:ascii="宋体" w:hAnsi="宋体" w:cs="宋体"/>
          <w:b/>
          <w:i w:val="0"/>
          <w:iCs w:val="0"/>
          <w:color w:val="auto"/>
          <w:sz w:val="24"/>
          <w:szCs w:val="24"/>
          <w:highlight w:val="none"/>
        </w:rPr>
        <w:t xml:space="preserve">1.2 </w:t>
      </w:r>
      <w:r>
        <w:rPr>
          <w:rFonts w:hint="eastAsia" w:ascii="宋体" w:hAnsi="宋体" w:cs="宋体"/>
          <w:b/>
          <w:i w:val="0"/>
          <w:iCs w:val="0"/>
          <w:color w:val="auto"/>
          <w:sz w:val="24"/>
          <w:szCs w:val="24"/>
          <w:highlight w:val="none"/>
          <w:lang w:eastAsia="zh-CN"/>
        </w:rPr>
        <w:t>招标</w:t>
      </w:r>
      <w:r>
        <w:rPr>
          <w:rFonts w:hint="eastAsia" w:ascii="宋体" w:hAnsi="宋体" w:cs="宋体"/>
          <w:b/>
          <w:i w:val="0"/>
          <w:iCs w:val="0"/>
          <w:color w:val="auto"/>
          <w:sz w:val="24"/>
          <w:szCs w:val="24"/>
          <w:highlight w:val="none"/>
        </w:rPr>
        <w:t>项目的资金情况</w:t>
      </w:r>
      <w:bookmarkEnd w:id="66"/>
    </w:p>
    <w:p w14:paraId="610E5C44">
      <w:pPr>
        <w:spacing w:line="360" w:lineRule="auto"/>
        <w:ind w:firstLine="480" w:firstLineChars="200"/>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已落实</w:t>
      </w:r>
    </w:p>
    <w:p w14:paraId="3D5F594D">
      <w:pPr>
        <w:spacing w:line="360" w:lineRule="auto"/>
        <w:rPr>
          <w:rFonts w:hint="eastAsia" w:ascii="宋体" w:hAnsi="宋体" w:eastAsia="宋体" w:cs="宋体"/>
          <w:b/>
          <w:i w:val="0"/>
          <w:iCs w:val="0"/>
          <w:color w:val="auto"/>
          <w:sz w:val="24"/>
          <w:szCs w:val="24"/>
          <w:highlight w:val="none"/>
          <w:lang w:eastAsia="zh-CN"/>
        </w:rPr>
      </w:pPr>
      <w:bookmarkStart w:id="67" w:name="_Toc16202"/>
      <w:bookmarkEnd w:id="67"/>
      <w:bookmarkStart w:id="68" w:name="_Toc16064"/>
      <w:bookmarkEnd w:id="68"/>
      <w:bookmarkStart w:id="69" w:name="_Toc9179"/>
      <w:r>
        <w:rPr>
          <w:rFonts w:hint="eastAsia" w:ascii="宋体" w:hAnsi="宋体" w:cs="宋体"/>
          <w:b/>
          <w:i w:val="0"/>
          <w:iCs w:val="0"/>
          <w:color w:val="auto"/>
          <w:sz w:val="24"/>
          <w:szCs w:val="24"/>
          <w:highlight w:val="none"/>
        </w:rPr>
        <w:t>1.3</w:t>
      </w:r>
      <w:r>
        <w:rPr>
          <w:rFonts w:hint="eastAsia" w:ascii="宋体" w:hAnsi="宋体" w:cs="宋体"/>
          <w:b/>
          <w:i w:val="0"/>
          <w:iCs w:val="0"/>
          <w:color w:val="auto"/>
          <w:sz w:val="24"/>
          <w:szCs w:val="24"/>
          <w:highlight w:val="none"/>
          <w:lang w:eastAsia="zh-CN"/>
        </w:rPr>
        <w:t>招标</w:t>
      </w:r>
      <w:r>
        <w:rPr>
          <w:rFonts w:hint="eastAsia" w:ascii="宋体" w:hAnsi="宋体" w:cs="宋体"/>
          <w:b/>
          <w:i w:val="0"/>
          <w:iCs w:val="0"/>
          <w:color w:val="auto"/>
          <w:sz w:val="24"/>
          <w:szCs w:val="24"/>
          <w:highlight w:val="none"/>
        </w:rPr>
        <w:t>内容、</w:t>
      </w:r>
      <w:r>
        <w:rPr>
          <w:rFonts w:hint="eastAsia" w:ascii="宋体" w:hAnsi="宋体" w:cs="宋体"/>
          <w:b/>
          <w:i w:val="0"/>
          <w:iCs w:val="0"/>
          <w:color w:val="auto"/>
          <w:sz w:val="24"/>
          <w:szCs w:val="24"/>
          <w:highlight w:val="none"/>
          <w:lang w:eastAsia="zh-CN"/>
        </w:rPr>
        <w:t>交货期</w:t>
      </w:r>
      <w:r>
        <w:rPr>
          <w:rFonts w:hint="eastAsia" w:ascii="宋体" w:hAnsi="宋体" w:cs="宋体"/>
          <w:b/>
          <w:i w:val="0"/>
          <w:iCs w:val="0"/>
          <w:color w:val="auto"/>
          <w:sz w:val="24"/>
          <w:szCs w:val="24"/>
          <w:highlight w:val="none"/>
        </w:rPr>
        <w:t>、</w:t>
      </w:r>
      <w:bookmarkEnd w:id="69"/>
      <w:r>
        <w:rPr>
          <w:rFonts w:hint="eastAsia" w:ascii="宋体" w:hAnsi="宋体" w:cs="宋体"/>
          <w:b/>
          <w:i w:val="0"/>
          <w:iCs w:val="0"/>
          <w:color w:val="auto"/>
          <w:sz w:val="24"/>
          <w:szCs w:val="24"/>
          <w:highlight w:val="none"/>
          <w:lang w:eastAsia="zh-CN"/>
        </w:rPr>
        <w:t>交货地点</w:t>
      </w:r>
    </w:p>
    <w:p w14:paraId="4FE2491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1.3.1</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内容：见投标人须知前附表。</w:t>
      </w:r>
    </w:p>
    <w:p w14:paraId="5006B36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1.3.2</w:t>
      </w:r>
      <w:r>
        <w:rPr>
          <w:rFonts w:hint="eastAsia" w:ascii="宋体" w:hAnsi="宋体" w:cs="宋体"/>
          <w:i w:val="0"/>
          <w:iCs w:val="0"/>
          <w:color w:val="auto"/>
          <w:sz w:val="24"/>
          <w:szCs w:val="24"/>
          <w:highlight w:val="none"/>
          <w:lang w:eastAsia="zh-CN"/>
        </w:rPr>
        <w:t>交货期</w:t>
      </w:r>
      <w:r>
        <w:rPr>
          <w:rFonts w:hint="eastAsia" w:ascii="宋体" w:hAnsi="宋体" w:cs="宋体"/>
          <w:i w:val="0"/>
          <w:iCs w:val="0"/>
          <w:color w:val="auto"/>
          <w:sz w:val="24"/>
          <w:szCs w:val="24"/>
          <w:highlight w:val="none"/>
        </w:rPr>
        <w:t>：见投标人须知前附表。</w:t>
      </w:r>
    </w:p>
    <w:p w14:paraId="0350CF5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1.3.3</w:t>
      </w:r>
      <w:r>
        <w:rPr>
          <w:rFonts w:hint="eastAsia" w:ascii="宋体" w:hAnsi="宋体" w:cs="宋体"/>
          <w:i w:val="0"/>
          <w:iCs w:val="0"/>
          <w:color w:val="auto"/>
          <w:sz w:val="24"/>
          <w:szCs w:val="24"/>
          <w:highlight w:val="none"/>
          <w:lang w:eastAsia="zh-CN"/>
        </w:rPr>
        <w:t>交货地点</w:t>
      </w:r>
      <w:r>
        <w:rPr>
          <w:rFonts w:hint="eastAsia" w:ascii="宋体" w:hAnsi="宋体" w:cs="宋体"/>
          <w:i w:val="0"/>
          <w:iCs w:val="0"/>
          <w:color w:val="auto"/>
          <w:sz w:val="24"/>
          <w:szCs w:val="24"/>
          <w:highlight w:val="none"/>
        </w:rPr>
        <w:t>：见投标人须知前附表。</w:t>
      </w:r>
    </w:p>
    <w:p w14:paraId="46593912">
      <w:pPr>
        <w:spacing w:line="360" w:lineRule="auto"/>
        <w:rPr>
          <w:rFonts w:ascii="宋体" w:hAnsi="宋体" w:cs="宋体"/>
          <w:b/>
          <w:i w:val="0"/>
          <w:iCs w:val="0"/>
          <w:color w:val="auto"/>
          <w:sz w:val="24"/>
          <w:szCs w:val="24"/>
          <w:highlight w:val="none"/>
        </w:rPr>
      </w:pPr>
      <w:bookmarkStart w:id="70" w:name="_Toc17694"/>
      <w:bookmarkEnd w:id="70"/>
      <w:bookmarkStart w:id="71" w:name="_Toc10611"/>
      <w:r>
        <w:rPr>
          <w:rFonts w:hint="eastAsia" w:ascii="宋体" w:hAnsi="宋体" w:cs="宋体"/>
          <w:b/>
          <w:i w:val="0"/>
          <w:iCs w:val="0"/>
          <w:color w:val="auto"/>
          <w:sz w:val="24"/>
          <w:szCs w:val="24"/>
          <w:highlight w:val="none"/>
        </w:rPr>
        <w:t xml:space="preserve">1.4 </w:t>
      </w:r>
      <w:r>
        <w:rPr>
          <w:rFonts w:hint="eastAsia" w:ascii="宋体" w:hAnsi="宋体" w:cs="宋体"/>
          <w:b/>
          <w:i w:val="0"/>
          <w:iCs w:val="0"/>
          <w:color w:val="auto"/>
          <w:sz w:val="24"/>
          <w:szCs w:val="24"/>
          <w:highlight w:val="none"/>
          <w:lang w:eastAsia="zh-CN"/>
        </w:rPr>
        <w:t>投标</w:t>
      </w:r>
      <w:r>
        <w:rPr>
          <w:rFonts w:hint="eastAsia" w:ascii="宋体" w:hAnsi="宋体" w:cs="宋体"/>
          <w:b/>
          <w:i w:val="0"/>
          <w:iCs w:val="0"/>
          <w:color w:val="auto"/>
          <w:sz w:val="24"/>
          <w:szCs w:val="24"/>
          <w:highlight w:val="none"/>
        </w:rPr>
        <w:t>人资格要求</w:t>
      </w:r>
      <w:bookmarkEnd w:id="71"/>
    </w:p>
    <w:p w14:paraId="22874EC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1.4.1</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人应具备资格要求：详见投标人须知前附表；</w:t>
      </w:r>
    </w:p>
    <w:p w14:paraId="470610AE">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1.4.2投标人须知前附表规定接受联合体投标的，联合体除应符合本章第1.4.1项和投标人须知前附表的要求外，还应遵守以下规定：</w:t>
      </w:r>
    </w:p>
    <w:p w14:paraId="59691D7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（1）联合体各方应按</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提供的格式签订联合体协议书，明确联合体牵头人和各方权利义务，并承诺就</w:t>
      </w:r>
      <w:r>
        <w:rPr>
          <w:rFonts w:hint="eastAsia" w:ascii="宋体" w:hAnsi="宋体" w:cs="宋体"/>
          <w:i w:val="0"/>
          <w:iCs w:val="0"/>
          <w:color w:val="auto"/>
          <w:sz w:val="24"/>
          <w:szCs w:val="24"/>
          <w:highlight w:val="none"/>
          <w:lang w:eastAsia="zh-CN"/>
        </w:rPr>
        <w:t>中选</w:t>
      </w:r>
      <w:r>
        <w:rPr>
          <w:rFonts w:hint="eastAsia" w:ascii="宋体" w:hAnsi="宋体" w:cs="宋体"/>
          <w:i w:val="0"/>
          <w:iCs w:val="0"/>
          <w:color w:val="auto"/>
          <w:sz w:val="24"/>
          <w:szCs w:val="24"/>
          <w:highlight w:val="none"/>
        </w:rPr>
        <w:t>项目向</w:t>
      </w:r>
      <w:r>
        <w:rPr>
          <w:rFonts w:hint="eastAsia" w:ascii="宋体" w:hAnsi="宋体" w:cs="宋体"/>
          <w:i w:val="0"/>
          <w:iCs w:val="0"/>
          <w:color w:val="auto"/>
          <w:sz w:val="24"/>
          <w:szCs w:val="24"/>
          <w:highlight w:val="none"/>
          <w:lang w:eastAsia="zh-CN"/>
        </w:rPr>
        <w:t>采购人</w:t>
      </w:r>
      <w:r>
        <w:rPr>
          <w:rFonts w:hint="eastAsia" w:ascii="宋体" w:hAnsi="宋体" w:cs="宋体"/>
          <w:i w:val="0"/>
          <w:iCs w:val="0"/>
          <w:color w:val="auto"/>
          <w:sz w:val="24"/>
          <w:szCs w:val="24"/>
          <w:highlight w:val="none"/>
        </w:rPr>
        <w:t>承担连带责任；</w:t>
      </w:r>
    </w:p>
    <w:p w14:paraId="363F503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（2）由同一专业的单位组成的联合体，按照资质等级较低的单位确定资质等级；</w:t>
      </w:r>
    </w:p>
    <w:p w14:paraId="45FE2FB5">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（3）联合体各方不得再以自己名义单独或参加其他联合体在本</w:t>
      </w:r>
      <w:r>
        <w:rPr>
          <w:rFonts w:hint="eastAsia" w:ascii="宋体" w:hAnsi="宋体" w:cs="宋体"/>
          <w:i w:val="0"/>
          <w:iCs w:val="0"/>
          <w:color w:val="auto"/>
          <w:sz w:val="24"/>
          <w:szCs w:val="24"/>
          <w:highlight w:val="none"/>
          <w:lang w:eastAsia="zh-CN"/>
        </w:rPr>
        <w:t>招标</w:t>
      </w:r>
      <w:r>
        <w:rPr>
          <w:rFonts w:hint="eastAsia" w:ascii="宋体" w:hAnsi="宋体" w:cs="宋体"/>
          <w:i w:val="0"/>
          <w:iCs w:val="0"/>
          <w:color w:val="auto"/>
          <w:sz w:val="24"/>
          <w:szCs w:val="24"/>
          <w:highlight w:val="none"/>
        </w:rPr>
        <w:t>项目中</w:t>
      </w:r>
      <w:r>
        <w:rPr>
          <w:rFonts w:hint="eastAsia" w:ascii="宋体" w:hAnsi="宋体" w:cs="宋体"/>
          <w:i w:val="0"/>
          <w:iCs w:val="0"/>
          <w:color w:val="auto"/>
          <w:sz w:val="24"/>
          <w:szCs w:val="24"/>
          <w:highlight w:val="none"/>
          <w:lang w:eastAsia="zh-CN"/>
        </w:rPr>
        <w:t>参与投标</w:t>
      </w:r>
      <w:r>
        <w:rPr>
          <w:rFonts w:hint="eastAsia" w:ascii="宋体" w:hAnsi="宋体" w:cs="宋体"/>
          <w:i w:val="0"/>
          <w:iCs w:val="0"/>
          <w:color w:val="auto"/>
          <w:sz w:val="24"/>
          <w:szCs w:val="24"/>
          <w:highlight w:val="none"/>
        </w:rPr>
        <w:t>，否则各相关</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均无效。</w:t>
      </w:r>
    </w:p>
    <w:p w14:paraId="680DFFBA">
      <w:pPr>
        <w:spacing w:line="360" w:lineRule="auto"/>
        <w:rPr>
          <w:rFonts w:ascii="宋体" w:hAnsi="宋体" w:cs="宋体"/>
          <w:b/>
          <w:i w:val="0"/>
          <w:iCs w:val="0"/>
          <w:color w:val="auto"/>
          <w:sz w:val="24"/>
          <w:szCs w:val="24"/>
          <w:highlight w:val="none"/>
        </w:rPr>
      </w:pPr>
      <w:bookmarkStart w:id="72" w:name="_Toc27960"/>
      <w:bookmarkEnd w:id="72"/>
      <w:bookmarkStart w:id="73" w:name="_Toc18144"/>
      <w:r>
        <w:rPr>
          <w:rFonts w:hint="eastAsia" w:ascii="宋体" w:hAnsi="宋体" w:cs="宋体"/>
          <w:b/>
          <w:i w:val="0"/>
          <w:iCs w:val="0"/>
          <w:color w:val="auto"/>
          <w:sz w:val="24"/>
          <w:szCs w:val="24"/>
          <w:highlight w:val="none"/>
        </w:rPr>
        <w:t>1.5 费用承担</w:t>
      </w:r>
      <w:bookmarkEnd w:id="73"/>
    </w:p>
    <w:p w14:paraId="0B1158C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1.5.1</w:t>
      </w:r>
      <w:r>
        <w:rPr>
          <w:rFonts w:hint="eastAsia" w:ascii="宋体" w:hAnsi="宋体" w:cs="宋体"/>
          <w:i w:val="0"/>
          <w:iCs w:val="0"/>
          <w:color w:val="auto"/>
          <w:sz w:val="24"/>
          <w:szCs w:val="24"/>
          <w:highlight w:val="none"/>
          <w:lang w:eastAsia="zh-CN"/>
        </w:rPr>
        <w:t>投标人</w:t>
      </w:r>
      <w:r>
        <w:rPr>
          <w:rFonts w:hint="eastAsia" w:ascii="宋体" w:hAnsi="宋体" w:cs="宋体"/>
          <w:i w:val="0"/>
          <w:iCs w:val="0"/>
          <w:color w:val="auto"/>
          <w:sz w:val="24"/>
          <w:szCs w:val="24"/>
          <w:highlight w:val="none"/>
        </w:rPr>
        <w:t>应承担所有与编写和提交</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文件有关的费用，不论</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的结果如何，</w:t>
      </w:r>
      <w:r>
        <w:rPr>
          <w:rFonts w:hint="eastAsia" w:ascii="宋体" w:hAnsi="宋体" w:cs="宋体"/>
          <w:i w:val="0"/>
          <w:iCs w:val="0"/>
          <w:color w:val="auto"/>
          <w:sz w:val="24"/>
          <w:szCs w:val="24"/>
          <w:highlight w:val="none"/>
          <w:lang w:eastAsia="zh-CN"/>
        </w:rPr>
        <w:t>采购人</w:t>
      </w:r>
      <w:r>
        <w:rPr>
          <w:rFonts w:hint="eastAsia" w:ascii="宋体" w:hAnsi="宋体" w:cs="宋体"/>
          <w:i w:val="0"/>
          <w:iCs w:val="0"/>
          <w:color w:val="auto"/>
          <w:sz w:val="24"/>
          <w:szCs w:val="24"/>
          <w:highlight w:val="none"/>
        </w:rPr>
        <w:t>在任何情况下均无义务和责任承担这些费用。</w:t>
      </w:r>
    </w:p>
    <w:p w14:paraId="4F332729">
      <w:pPr>
        <w:spacing w:line="360" w:lineRule="auto"/>
        <w:rPr>
          <w:rFonts w:ascii="宋体" w:hAnsi="宋体" w:cs="宋体"/>
          <w:b/>
          <w:i w:val="0"/>
          <w:iCs w:val="0"/>
          <w:color w:val="auto"/>
          <w:sz w:val="24"/>
          <w:szCs w:val="24"/>
          <w:highlight w:val="none"/>
        </w:rPr>
      </w:pPr>
      <w:bookmarkStart w:id="74" w:name="_Toc6230"/>
      <w:bookmarkEnd w:id="74"/>
      <w:bookmarkStart w:id="75" w:name="_Toc16680"/>
      <w:r>
        <w:rPr>
          <w:rFonts w:hint="eastAsia" w:ascii="宋体" w:hAnsi="宋体" w:cs="宋体"/>
          <w:b/>
          <w:i w:val="0"/>
          <w:iCs w:val="0"/>
          <w:color w:val="auto"/>
          <w:sz w:val="24"/>
          <w:szCs w:val="24"/>
          <w:highlight w:val="none"/>
        </w:rPr>
        <w:t>1.6 保密</w:t>
      </w:r>
      <w:bookmarkEnd w:id="75"/>
    </w:p>
    <w:p w14:paraId="75F1077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参与</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活动的各方应对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和</w:t>
      </w: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文件中的商业和技术等秘密保密，</w:t>
      </w:r>
      <w:r>
        <w:rPr>
          <w:rFonts w:hint="eastAsia" w:ascii="宋体" w:hAnsi="宋体" w:cs="宋体"/>
          <w:i w:val="0"/>
          <w:iCs w:val="0"/>
          <w:color w:val="auto"/>
          <w:sz w:val="24"/>
          <w:szCs w:val="24"/>
          <w:highlight w:val="none"/>
          <w:lang w:eastAsia="zh-CN"/>
        </w:rPr>
        <w:t>否</w:t>
      </w:r>
      <w:r>
        <w:rPr>
          <w:rFonts w:hint="eastAsia" w:ascii="宋体" w:hAnsi="宋体" w:cs="宋体"/>
          <w:i w:val="0"/>
          <w:iCs w:val="0"/>
          <w:color w:val="auto"/>
          <w:sz w:val="24"/>
          <w:szCs w:val="24"/>
          <w:highlight w:val="none"/>
        </w:rPr>
        <w:t>则应承担相应的法律责任。</w:t>
      </w:r>
    </w:p>
    <w:p w14:paraId="74FC9DE4">
      <w:pPr>
        <w:spacing w:line="360" w:lineRule="auto"/>
        <w:rPr>
          <w:rFonts w:ascii="宋体" w:hAnsi="宋体" w:cs="宋体"/>
          <w:b/>
          <w:i w:val="0"/>
          <w:iCs w:val="0"/>
          <w:color w:val="auto"/>
          <w:sz w:val="24"/>
          <w:szCs w:val="24"/>
          <w:highlight w:val="none"/>
        </w:rPr>
      </w:pPr>
      <w:bookmarkStart w:id="76" w:name="_Toc31781"/>
      <w:bookmarkEnd w:id="76"/>
      <w:bookmarkStart w:id="77" w:name="_Toc787"/>
      <w:r>
        <w:rPr>
          <w:rFonts w:hint="eastAsia" w:ascii="宋体" w:hAnsi="宋体" w:cs="宋体"/>
          <w:b/>
          <w:i w:val="0"/>
          <w:iCs w:val="0"/>
          <w:color w:val="auto"/>
          <w:sz w:val="24"/>
          <w:szCs w:val="24"/>
          <w:highlight w:val="none"/>
        </w:rPr>
        <w:t>1.7 语言文字</w:t>
      </w:r>
      <w:bookmarkEnd w:id="77"/>
    </w:p>
    <w:p w14:paraId="155AAFA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投标</w:t>
      </w:r>
      <w:r>
        <w:rPr>
          <w:rFonts w:hint="eastAsia" w:ascii="宋体" w:hAnsi="宋体" w:cs="宋体"/>
          <w:i w:val="0"/>
          <w:iCs w:val="0"/>
          <w:color w:val="auto"/>
          <w:sz w:val="24"/>
          <w:szCs w:val="24"/>
          <w:highlight w:val="none"/>
        </w:rPr>
        <w:t>文件使用的语言文字为中文。专用术语使用外文的，应附有中文注释。</w:t>
      </w:r>
    </w:p>
    <w:p w14:paraId="1A75C200">
      <w:pPr>
        <w:spacing w:line="360" w:lineRule="auto"/>
        <w:rPr>
          <w:rFonts w:ascii="宋体" w:hAnsi="宋体" w:cs="宋体"/>
          <w:b/>
          <w:i w:val="0"/>
          <w:iCs w:val="0"/>
          <w:color w:val="auto"/>
          <w:sz w:val="24"/>
          <w:szCs w:val="24"/>
          <w:highlight w:val="none"/>
        </w:rPr>
      </w:pPr>
      <w:bookmarkStart w:id="78" w:name="_Toc29423"/>
      <w:bookmarkEnd w:id="78"/>
      <w:bookmarkStart w:id="79" w:name="_Toc29116"/>
      <w:r>
        <w:rPr>
          <w:rFonts w:hint="eastAsia" w:ascii="宋体" w:hAnsi="宋体" w:cs="宋体"/>
          <w:b/>
          <w:i w:val="0"/>
          <w:iCs w:val="0"/>
          <w:color w:val="auto"/>
          <w:sz w:val="24"/>
          <w:szCs w:val="24"/>
          <w:highlight w:val="none"/>
        </w:rPr>
        <w:t>1.8 计量单位</w:t>
      </w:r>
      <w:bookmarkEnd w:id="79"/>
    </w:p>
    <w:p w14:paraId="2018AE7B">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所有计量均采用中华人民共和国法定计量单位。</w:t>
      </w:r>
    </w:p>
    <w:p w14:paraId="6D40330F">
      <w:pPr>
        <w:spacing w:line="360" w:lineRule="auto"/>
        <w:rPr>
          <w:rFonts w:ascii="宋体" w:hAnsi="宋体" w:cs="宋体"/>
          <w:b/>
          <w:i w:val="0"/>
          <w:iCs w:val="0"/>
          <w:color w:val="auto"/>
          <w:sz w:val="24"/>
          <w:szCs w:val="24"/>
          <w:highlight w:val="none"/>
        </w:rPr>
      </w:pPr>
      <w:bookmarkStart w:id="80" w:name="_Toc247592876"/>
      <w:bookmarkEnd w:id="80"/>
      <w:bookmarkStart w:id="81" w:name="_Toc247513962"/>
      <w:bookmarkEnd w:id="81"/>
      <w:bookmarkStart w:id="82" w:name="_Toc29812"/>
      <w:bookmarkEnd w:id="82"/>
      <w:bookmarkStart w:id="83" w:name="_Toc296602429"/>
      <w:bookmarkEnd w:id="83"/>
      <w:bookmarkStart w:id="84" w:name="_Toc247527563"/>
      <w:bookmarkEnd w:id="84"/>
      <w:bookmarkStart w:id="85" w:name="_Toc152045539"/>
      <w:bookmarkEnd w:id="85"/>
      <w:bookmarkStart w:id="86" w:name="_Toc152042315"/>
      <w:bookmarkEnd w:id="86"/>
      <w:bookmarkStart w:id="87" w:name="_Toc144974507"/>
      <w:bookmarkEnd w:id="87"/>
      <w:bookmarkStart w:id="88" w:name="_Toc29408"/>
      <w:r>
        <w:rPr>
          <w:rFonts w:hint="eastAsia" w:ascii="宋体" w:hAnsi="宋体" w:cs="宋体"/>
          <w:b/>
          <w:i w:val="0"/>
          <w:iCs w:val="0"/>
          <w:color w:val="auto"/>
          <w:sz w:val="24"/>
          <w:szCs w:val="24"/>
          <w:highlight w:val="none"/>
        </w:rPr>
        <w:t>1.9 现场</w:t>
      </w:r>
      <w:bookmarkEnd w:id="88"/>
      <w:r>
        <w:rPr>
          <w:rFonts w:hint="eastAsia" w:ascii="宋体" w:hAnsi="宋体" w:cs="宋体"/>
          <w:b/>
          <w:i w:val="0"/>
          <w:iCs w:val="0"/>
          <w:color w:val="auto"/>
          <w:sz w:val="24"/>
          <w:szCs w:val="24"/>
          <w:highlight w:val="none"/>
        </w:rPr>
        <w:t>考察</w:t>
      </w:r>
    </w:p>
    <w:p w14:paraId="7CCC0B2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1.9.1投标人须知前附表规定组织现场考察的，招标人按投标人须知前附表规定的时间、地点组织投标人考察项目现场。 </w:t>
      </w:r>
    </w:p>
    <w:p w14:paraId="2AA1BBC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1.9.2投标人考察现场发生的费用自理。</w:t>
      </w:r>
    </w:p>
    <w:p w14:paraId="4CAC86F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1.9.3除招标人的原因外，投标人自行负责在考察现场中所发生的人员伤亡和财产损失。</w:t>
      </w:r>
    </w:p>
    <w:p w14:paraId="10BDE73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1.9.4招标人在考察现场中介绍的项目场地和相关的周边环境情况，供投标人在编制投标文件时参考，招标人不对投标人据此作出的判断和决策负责。</w:t>
      </w:r>
    </w:p>
    <w:p w14:paraId="0ABA1258">
      <w:pPr>
        <w:bidi w:val="0"/>
        <w:jc w:val="center"/>
        <w:rPr>
          <w:rFonts w:hint="eastAsia"/>
          <w:b/>
          <w:bCs/>
          <w:sz w:val="28"/>
          <w:szCs w:val="28"/>
          <w:lang w:eastAsia="zh-CN"/>
        </w:rPr>
      </w:pPr>
      <w:bookmarkStart w:id="89" w:name="_Toc31848"/>
      <w:bookmarkEnd w:id="89"/>
      <w:bookmarkStart w:id="90" w:name="_Toc587"/>
      <w:bookmarkEnd w:id="90"/>
      <w:bookmarkStart w:id="91" w:name="_Toc32012"/>
      <w:bookmarkEnd w:id="91"/>
      <w:bookmarkStart w:id="92" w:name="_Toc31795"/>
      <w:bookmarkEnd w:id="92"/>
      <w:bookmarkStart w:id="93" w:name="_Toc10836"/>
      <w:bookmarkStart w:id="94" w:name="_Toc25840"/>
      <w:bookmarkStart w:id="95" w:name="_Toc31733"/>
      <w:r>
        <w:rPr>
          <w:rFonts w:hint="eastAsia"/>
          <w:b/>
          <w:bCs/>
          <w:sz w:val="28"/>
          <w:szCs w:val="28"/>
        </w:rPr>
        <w:t>2.</w:t>
      </w:r>
      <w:bookmarkEnd w:id="93"/>
      <w:bookmarkEnd w:id="94"/>
      <w:bookmarkEnd w:id="95"/>
      <w:r>
        <w:rPr>
          <w:rFonts w:hint="eastAsia"/>
          <w:b/>
          <w:bCs/>
          <w:sz w:val="28"/>
          <w:szCs w:val="28"/>
          <w:lang w:eastAsia="zh-CN"/>
        </w:rPr>
        <w:t>招标文件</w:t>
      </w:r>
    </w:p>
    <w:p w14:paraId="1A249F48">
      <w:pPr>
        <w:spacing w:line="360" w:lineRule="auto"/>
        <w:rPr>
          <w:rFonts w:ascii="宋体" w:hAnsi="宋体" w:cs="宋体"/>
          <w:b/>
          <w:i w:val="0"/>
          <w:iCs w:val="0"/>
          <w:color w:val="auto"/>
          <w:sz w:val="24"/>
          <w:szCs w:val="24"/>
          <w:highlight w:val="none"/>
        </w:rPr>
      </w:pPr>
      <w:bookmarkStart w:id="96" w:name="_Toc21536"/>
      <w:bookmarkEnd w:id="96"/>
      <w:bookmarkStart w:id="97" w:name="_Toc16596"/>
      <w:r>
        <w:rPr>
          <w:rFonts w:hint="eastAsia" w:ascii="宋体" w:hAnsi="宋体" w:cs="宋体"/>
          <w:b/>
          <w:i w:val="0"/>
          <w:iCs w:val="0"/>
          <w:color w:val="auto"/>
          <w:sz w:val="24"/>
          <w:szCs w:val="24"/>
          <w:highlight w:val="none"/>
        </w:rPr>
        <w:t xml:space="preserve">2.1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的组成</w:t>
      </w:r>
      <w:bookmarkEnd w:id="97"/>
    </w:p>
    <w:p w14:paraId="1C71BE0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包括：</w:t>
      </w:r>
    </w:p>
    <w:p w14:paraId="4E210D5F">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w:t>
      </w:r>
      <w:r>
        <w:rPr>
          <w:rFonts w:hint="eastAsia" w:ascii="宋体" w:hAnsi="宋体" w:cs="宋体"/>
          <w:i w:val="0"/>
          <w:iCs w:val="0"/>
          <w:color w:val="auto"/>
          <w:sz w:val="24"/>
          <w:szCs w:val="24"/>
          <w:highlight w:val="none"/>
          <w:lang w:eastAsia="zh-CN"/>
        </w:rPr>
        <w:t>招标公告</w:t>
      </w:r>
      <w:r>
        <w:rPr>
          <w:rFonts w:hint="eastAsia" w:ascii="宋体" w:hAnsi="宋体" w:cs="宋体"/>
          <w:i w:val="0"/>
          <w:iCs w:val="0"/>
          <w:color w:val="auto"/>
          <w:sz w:val="24"/>
          <w:szCs w:val="24"/>
          <w:highlight w:val="none"/>
        </w:rPr>
        <w:t>；</w:t>
      </w:r>
    </w:p>
    <w:p w14:paraId="5015540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(2)投标人须知；</w:t>
      </w:r>
    </w:p>
    <w:p w14:paraId="2BD0160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(3)评标办法；</w:t>
      </w:r>
    </w:p>
    <w:p w14:paraId="303D8FB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(4)合同条款及格式；</w:t>
      </w:r>
    </w:p>
    <w:p w14:paraId="19E30F81">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w:t>
      </w:r>
      <w:r>
        <w:rPr>
          <w:rFonts w:hint="eastAsia" w:ascii="宋体" w:hAnsi="宋体" w:cs="宋体"/>
          <w:i w:val="0"/>
          <w:iCs w:val="0"/>
          <w:color w:val="auto"/>
          <w:sz w:val="24"/>
          <w:szCs w:val="24"/>
          <w:highlight w:val="none"/>
          <w:lang w:eastAsia="zh-CN"/>
        </w:rPr>
        <w:t>采购内容及要求</w:t>
      </w:r>
      <w:r>
        <w:rPr>
          <w:rFonts w:hint="eastAsia" w:ascii="宋体" w:hAnsi="宋体" w:cs="宋体"/>
          <w:i w:val="0"/>
          <w:iCs w:val="0"/>
          <w:color w:val="auto"/>
          <w:sz w:val="24"/>
          <w:szCs w:val="24"/>
          <w:highlight w:val="none"/>
        </w:rPr>
        <w:t>；</w:t>
      </w:r>
    </w:p>
    <w:p w14:paraId="245A6877">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(6)投标文件格式；</w:t>
      </w:r>
    </w:p>
    <w:p w14:paraId="50F2D0DD">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(7)投标人须知前附表规定的其他材料。</w:t>
      </w:r>
    </w:p>
    <w:p w14:paraId="2613BF1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根据本章第2.2款和第2.3款对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所作的澄清、修改，构成</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的组成部分。</w:t>
      </w:r>
    </w:p>
    <w:p w14:paraId="31226340">
      <w:pPr>
        <w:spacing w:line="360" w:lineRule="auto"/>
        <w:rPr>
          <w:rFonts w:ascii="宋体" w:hAnsi="宋体" w:cs="宋体"/>
          <w:b/>
          <w:i w:val="0"/>
          <w:iCs w:val="0"/>
          <w:color w:val="auto"/>
          <w:sz w:val="24"/>
          <w:szCs w:val="24"/>
          <w:highlight w:val="none"/>
        </w:rPr>
      </w:pPr>
      <w:bookmarkStart w:id="98" w:name="_Toc23003"/>
      <w:bookmarkEnd w:id="98"/>
      <w:bookmarkStart w:id="99" w:name="_Toc13591"/>
      <w:r>
        <w:rPr>
          <w:rFonts w:hint="eastAsia" w:ascii="宋体" w:hAnsi="宋体" w:cs="宋体"/>
          <w:b/>
          <w:i w:val="0"/>
          <w:iCs w:val="0"/>
          <w:color w:val="auto"/>
          <w:sz w:val="24"/>
          <w:szCs w:val="24"/>
          <w:highlight w:val="none"/>
        </w:rPr>
        <w:t xml:space="preserve">2.2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的澄清</w:t>
      </w:r>
      <w:bookmarkEnd w:id="99"/>
    </w:p>
    <w:p w14:paraId="5C510E7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2.2.1投标人应仔细阅读和检查</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的全部内容。如发现缺页或附件不全，应及时向招标人提出，以便补齐。</w:t>
      </w:r>
    </w:p>
    <w:p w14:paraId="657A440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2.2.2</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的澄清以投标人须知前附表规定的形式发给所有获取</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的投标人，但不指明澄清问题的来源。澄清发出的时间距本章第4.2.1项规定的投标截止时间不足</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rPr>
        <w:t>日的，并且澄清内容可能影响投标文件编制的，将相应延长投标截止时间。</w:t>
      </w:r>
    </w:p>
    <w:p w14:paraId="3224838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2.2.3投标人在收到澄清通知后，应按投标人须知前附表规定的时间和形式通知招标</w:t>
      </w:r>
      <w:r>
        <w:rPr>
          <w:rFonts w:hint="eastAsia" w:ascii="宋体" w:hAnsi="宋体" w:cs="宋体"/>
          <w:i w:val="0"/>
          <w:iCs w:val="0"/>
          <w:color w:val="auto"/>
          <w:sz w:val="24"/>
          <w:szCs w:val="24"/>
          <w:highlight w:val="none"/>
          <w:lang w:eastAsia="zh-CN"/>
        </w:rPr>
        <w:t>人</w:t>
      </w:r>
      <w:r>
        <w:rPr>
          <w:rFonts w:hint="eastAsia" w:ascii="宋体" w:hAnsi="宋体" w:cs="宋体"/>
          <w:i w:val="0"/>
          <w:iCs w:val="0"/>
          <w:color w:val="auto"/>
          <w:sz w:val="24"/>
          <w:szCs w:val="24"/>
          <w:highlight w:val="none"/>
        </w:rPr>
        <w:t>，确认已收到该通知。</w:t>
      </w:r>
    </w:p>
    <w:p w14:paraId="0DA4F89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2.2.4除非招标人认为确有必要答复，否则，招标人有权拒绝回复投标人在本章第2.2.1项规定的时间后的任何澄清要求。</w:t>
      </w:r>
    </w:p>
    <w:p w14:paraId="6F792064">
      <w:pPr>
        <w:spacing w:line="360" w:lineRule="auto"/>
        <w:rPr>
          <w:rFonts w:ascii="宋体" w:hAnsi="宋体" w:cs="宋体"/>
          <w:b/>
          <w:i w:val="0"/>
          <w:iCs w:val="0"/>
          <w:color w:val="auto"/>
          <w:sz w:val="24"/>
          <w:szCs w:val="24"/>
          <w:highlight w:val="none"/>
        </w:rPr>
      </w:pPr>
      <w:bookmarkStart w:id="100" w:name="_Toc17621"/>
      <w:bookmarkEnd w:id="100"/>
      <w:bookmarkStart w:id="101" w:name="_Toc8029"/>
      <w:r>
        <w:rPr>
          <w:rFonts w:hint="eastAsia" w:ascii="宋体" w:hAnsi="宋体" w:cs="宋体"/>
          <w:b/>
          <w:i w:val="0"/>
          <w:iCs w:val="0"/>
          <w:color w:val="auto"/>
          <w:sz w:val="24"/>
          <w:szCs w:val="24"/>
          <w:highlight w:val="none"/>
        </w:rPr>
        <w:t xml:space="preserve">2.3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的修改</w:t>
      </w:r>
      <w:bookmarkEnd w:id="101"/>
    </w:p>
    <w:p w14:paraId="5B70636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2.3.1招标人以投标人须知前附表规定的形式修改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，并通知所有已获取</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的投标人。修改</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的时间距本章4.2.1项规定的投标截止时间不足</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rPr>
        <w:t>日的，并且修改内容可能影响投标文件编制的，将相应延长投标截止时间。</w:t>
      </w:r>
    </w:p>
    <w:p w14:paraId="13F8659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2.3.2投标人收到修改内容后，应按投标人须知前附表规定的时间和形式通知招标</w:t>
      </w:r>
      <w:r>
        <w:rPr>
          <w:rFonts w:hint="eastAsia" w:ascii="宋体" w:hAnsi="宋体" w:cs="宋体"/>
          <w:i w:val="0"/>
          <w:iCs w:val="0"/>
          <w:color w:val="auto"/>
          <w:sz w:val="24"/>
          <w:szCs w:val="24"/>
          <w:highlight w:val="none"/>
          <w:lang w:eastAsia="zh-CN"/>
        </w:rPr>
        <w:t>人</w:t>
      </w:r>
      <w:r>
        <w:rPr>
          <w:rFonts w:hint="eastAsia" w:ascii="宋体" w:hAnsi="宋体" w:cs="宋体"/>
          <w:i w:val="0"/>
          <w:iCs w:val="0"/>
          <w:color w:val="auto"/>
          <w:sz w:val="24"/>
          <w:szCs w:val="24"/>
          <w:highlight w:val="none"/>
        </w:rPr>
        <w:t>，确认已收到该修改。</w:t>
      </w:r>
    </w:p>
    <w:p w14:paraId="48B69D89">
      <w:pPr>
        <w:spacing w:line="360" w:lineRule="auto"/>
        <w:rPr>
          <w:rFonts w:ascii="宋体" w:hAnsi="宋体" w:cs="宋体"/>
          <w:b/>
          <w:i w:val="0"/>
          <w:iCs w:val="0"/>
          <w:color w:val="auto"/>
          <w:sz w:val="24"/>
          <w:szCs w:val="24"/>
          <w:highlight w:val="none"/>
        </w:rPr>
      </w:pPr>
      <w:bookmarkStart w:id="102" w:name="_Toc4614573"/>
      <w:r>
        <w:rPr>
          <w:rFonts w:hint="eastAsia" w:ascii="宋体" w:hAnsi="宋体" w:cs="宋体"/>
          <w:b/>
          <w:i w:val="0"/>
          <w:iCs w:val="0"/>
          <w:color w:val="auto"/>
          <w:sz w:val="24"/>
          <w:szCs w:val="24"/>
          <w:highlight w:val="none"/>
        </w:rPr>
        <w:t xml:space="preserve">2.4 </w:t>
      </w:r>
      <w:r>
        <w:rPr>
          <w:rFonts w:hint="eastAsia" w:ascii="宋体" w:hAnsi="宋体" w:cs="宋体"/>
          <w:b/>
          <w:i w:val="0"/>
          <w:iCs w:val="0"/>
          <w:color w:val="auto"/>
          <w:sz w:val="24"/>
          <w:szCs w:val="24"/>
          <w:highlight w:val="none"/>
          <w:lang w:eastAsia="zh-CN"/>
        </w:rPr>
        <w:t>招标文件</w:t>
      </w:r>
      <w:r>
        <w:rPr>
          <w:rFonts w:hint="eastAsia" w:ascii="宋体" w:hAnsi="宋体" w:cs="宋体"/>
          <w:b/>
          <w:i w:val="0"/>
          <w:iCs w:val="0"/>
          <w:color w:val="auto"/>
          <w:sz w:val="24"/>
          <w:szCs w:val="24"/>
          <w:highlight w:val="none"/>
        </w:rPr>
        <w:t>的异议</w:t>
      </w:r>
      <w:bookmarkEnd w:id="102"/>
    </w:p>
    <w:p w14:paraId="75887585">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投标人或者其他利害关系人对</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有异议的，应当在投标截止时间</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日前以书面形式提出。招标人将在收到异议之日起3日内作出答复；作出答复前，将暂停招标投标活动。</w:t>
      </w:r>
    </w:p>
    <w:p w14:paraId="7C210897">
      <w:pPr>
        <w:bidi w:val="0"/>
        <w:jc w:val="center"/>
        <w:rPr>
          <w:rFonts w:hint="eastAsia"/>
          <w:b/>
          <w:bCs/>
          <w:sz w:val="28"/>
          <w:szCs w:val="28"/>
        </w:rPr>
      </w:pPr>
      <w:bookmarkStart w:id="103" w:name="_Toc16663"/>
      <w:bookmarkEnd w:id="103"/>
      <w:bookmarkStart w:id="104" w:name="_Toc24916"/>
      <w:bookmarkEnd w:id="104"/>
      <w:bookmarkStart w:id="105" w:name="_Toc29741"/>
      <w:bookmarkEnd w:id="105"/>
      <w:bookmarkStart w:id="106" w:name="_Toc24768"/>
      <w:bookmarkStart w:id="107" w:name="_Toc18056"/>
      <w:bookmarkStart w:id="108" w:name="_Toc14545"/>
      <w:r>
        <w:rPr>
          <w:rFonts w:hint="eastAsia"/>
          <w:b/>
          <w:bCs/>
          <w:sz w:val="28"/>
          <w:szCs w:val="28"/>
        </w:rPr>
        <w:t>3.投标文件</w:t>
      </w:r>
      <w:bookmarkEnd w:id="106"/>
      <w:bookmarkEnd w:id="107"/>
      <w:bookmarkEnd w:id="108"/>
    </w:p>
    <w:p w14:paraId="6903B26A">
      <w:pPr>
        <w:spacing w:line="360" w:lineRule="auto"/>
        <w:rPr>
          <w:rFonts w:ascii="宋体" w:hAnsi="宋体" w:cs="宋体"/>
          <w:b/>
          <w:i w:val="0"/>
          <w:iCs w:val="0"/>
          <w:color w:val="auto"/>
          <w:sz w:val="24"/>
          <w:szCs w:val="24"/>
          <w:highlight w:val="none"/>
        </w:rPr>
      </w:pPr>
      <w:bookmarkStart w:id="109" w:name="_Toc2432"/>
      <w:bookmarkEnd w:id="109"/>
      <w:bookmarkStart w:id="110" w:name="_Toc4962"/>
      <w:r>
        <w:rPr>
          <w:rFonts w:hint="eastAsia" w:ascii="宋体" w:hAnsi="宋体" w:cs="宋体"/>
          <w:b/>
          <w:i w:val="0"/>
          <w:iCs w:val="0"/>
          <w:color w:val="auto"/>
          <w:sz w:val="24"/>
          <w:szCs w:val="24"/>
          <w:highlight w:val="none"/>
        </w:rPr>
        <w:t>3.1 投标文件的组成</w:t>
      </w:r>
      <w:bookmarkEnd w:id="110"/>
    </w:p>
    <w:p w14:paraId="5383E86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3.1.1投标文件应包括下列内容：</w:t>
      </w:r>
    </w:p>
    <w:p w14:paraId="6BD4927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3.1.1.1详见第六章“投标文件格式”中的内容。</w:t>
      </w:r>
    </w:p>
    <w:p w14:paraId="61635198">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3.1.1.2投标人须知前附表规定的其他资料。</w:t>
      </w:r>
    </w:p>
    <w:p w14:paraId="3B14D1FA">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3.1.1.3投标人在评标过程中作出的符合法律法规和</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规定的澄清确认，构成投标文件的组成部分。</w:t>
      </w:r>
    </w:p>
    <w:p w14:paraId="2FB755A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3.1.2投标人须知前附表未要求提交投标保证金的，投标文件不包括第六章“投标文件格式”商务技术部分中所指的投标保证金。</w:t>
      </w:r>
    </w:p>
    <w:p w14:paraId="361C5B51">
      <w:pPr>
        <w:spacing w:line="360" w:lineRule="auto"/>
        <w:rPr>
          <w:rFonts w:ascii="宋体" w:hAnsi="宋体" w:cs="宋体"/>
          <w:b/>
          <w:i w:val="0"/>
          <w:iCs w:val="0"/>
          <w:color w:val="auto"/>
          <w:sz w:val="24"/>
          <w:szCs w:val="24"/>
          <w:highlight w:val="none"/>
        </w:rPr>
      </w:pPr>
      <w:bookmarkStart w:id="111" w:name="_Toc3252"/>
      <w:bookmarkEnd w:id="111"/>
      <w:bookmarkStart w:id="112" w:name="_Toc21369"/>
      <w:r>
        <w:rPr>
          <w:rFonts w:hint="eastAsia" w:ascii="宋体" w:hAnsi="宋体" w:cs="宋体"/>
          <w:b/>
          <w:i w:val="0"/>
          <w:iCs w:val="0"/>
          <w:color w:val="auto"/>
          <w:sz w:val="24"/>
          <w:szCs w:val="24"/>
          <w:highlight w:val="none"/>
        </w:rPr>
        <w:t>3.2 投标报价</w:t>
      </w:r>
      <w:bookmarkEnd w:id="112"/>
    </w:p>
    <w:p w14:paraId="3C17EE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3.2.1投标人应按第六章“投标文件格式”的要求在投标函中进行报价。</w:t>
      </w:r>
    </w:p>
    <w:p w14:paraId="4AC331D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3.2.2投标人应充分了解该项目的总体情况以及影响投标报价的其他要素。</w:t>
      </w:r>
    </w:p>
    <w:p w14:paraId="28FF2CB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3.2.3投标人的投标报价不得超过预算金额(</w:t>
      </w:r>
      <w:r>
        <w:rPr>
          <w:rFonts w:hint="eastAsia" w:ascii="宋体" w:hAnsi="宋体" w:cs="宋体"/>
          <w:i w:val="0"/>
          <w:iCs w:val="0"/>
          <w:color w:val="auto"/>
          <w:sz w:val="24"/>
          <w:szCs w:val="24"/>
          <w:highlight w:val="none"/>
          <w:lang w:eastAsia="zh-CN"/>
        </w:rPr>
        <w:t>最高限价</w:t>
      </w:r>
      <w:r>
        <w:rPr>
          <w:rFonts w:hint="eastAsia" w:ascii="宋体" w:hAnsi="宋体" w:cs="宋体"/>
          <w:i w:val="0"/>
          <w:iCs w:val="0"/>
          <w:color w:val="auto"/>
          <w:sz w:val="24"/>
          <w:szCs w:val="24"/>
          <w:highlight w:val="none"/>
        </w:rPr>
        <w:t>)，预算金额(</w:t>
      </w:r>
      <w:r>
        <w:rPr>
          <w:rFonts w:hint="eastAsia" w:ascii="宋体" w:hAnsi="宋体" w:cs="宋体"/>
          <w:i w:val="0"/>
          <w:iCs w:val="0"/>
          <w:color w:val="auto"/>
          <w:sz w:val="24"/>
          <w:szCs w:val="24"/>
          <w:highlight w:val="none"/>
          <w:lang w:eastAsia="zh-CN"/>
        </w:rPr>
        <w:t>最高限价</w:t>
      </w:r>
      <w:r>
        <w:rPr>
          <w:rFonts w:hint="eastAsia" w:ascii="宋体" w:hAnsi="宋体" w:cs="宋体"/>
          <w:i w:val="0"/>
          <w:iCs w:val="0"/>
          <w:color w:val="auto"/>
          <w:sz w:val="24"/>
          <w:szCs w:val="24"/>
          <w:highlight w:val="none"/>
        </w:rPr>
        <w:t>)在投标人须知前附表中载明。</w:t>
      </w:r>
    </w:p>
    <w:p w14:paraId="3B470C3A">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3.2.4投标报价的其他要求见投标人须知前附表。</w:t>
      </w:r>
    </w:p>
    <w:p w14:paraId="0A42F314">
      <w:pPr>
        <w:spacing w:line="360" w:lineRule="auto"/>
        <w:rPr>
          <w:rFonts w:ascii="宋体" w:hAnsi="宋体" w:cs="宋体"/>
          <w:b/>
          <w:i w:val="0"/>
          <w:iCs w:val="0"/>
          <w:color w:val="auto"/>
          <w:sz w:val="24"/>
          <w:szCs w:val="24"/>
          <w:highlight w:val="none"/>
        </w:rPr>
      </w:pPr>
      <w:bookmarkStart w:id="113" w:name="_Toc12995"/>
      <w:bookmarkEnd w:id="113"/>
      <w:bookmarkStart w:id="114" w:name="_Toc14190"/>
      <w:r>
        <w:rPr>
          <w:rFonts w:hint="eastAsia" w:ascii="宋体" w:hAnsi="宋体" w:cs="宋体"/>
          <w:b/>
          <w:i w:val="0"/>
          <w:iCs w:val="0"/>
          <w:color w:val="auto"/>
          <w:sz w:val="24"/>
          <w:szCs w:val="24"/>
          <w:highlight w:val="none"/>
        </w:rPr>
        <w:t>3.3 投标有效期</w:t>
      </w:r>
      <w:bookmarkEnd w:id="114"/>
    </w:p>
    <w:p w14:paraId="1F6F023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3.3.1投标有效期见投标人须知前附表。</w:t>
      </w:r>
    </w:p>
    <w:p w14:paraId="5F86C3F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3.3.2在投标有效期内，投标人撤销或修改其投标文件的，应承担</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和法律规定的责任。</w:t>
      </w:r>
    </w:p>
    <w:p w14:paraId="14EB3A9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3.3.3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w:t>
      </w:r>
    </w:p>
    <w:p w14:paraId="5894745D">
      <w:pPr>
        <w:spacing w:line="360" w:lineRule="auto"/>
        <w:rPr>
          <w:rFonts w:ascii="宋体" w:hAnsi="宋体" w:cs="宋体"/>
          <w:b/>
          <w:i w:val="0"/>
          <w:iCs w:val="0"/>
          <w:color w:val="auto"/>
          <w:sz w:val="24"/>
          <w:szCs w:val="24"/>
          <w:highlight w:val="none"/>
        </w:rPr>
      </w:pPr>
      <w:bookmarkStart w:id="115" w:name="_Toc1543"/>
      <w:bookmarkEnd w:id="115"/>
      <w:bookmarkStart w:id="116" w:name="_Toc23125"/>
      <w:r>
        <w:rPr>
          <w:rFonts w:hint="eastAsia" w:ascii="宋体" w:hAnsi="宋体" w:cs="宋体"/>
          <w:b/>
          <w:i w:val="0"/>
          <w:iCs w:val="0"/>
          <w:color w:val="auto"/>
          <w:sz w:val="24"/>
          <w:szCs w:val="24"/>
          <w:highlight w:val="none"/>
        </w:rPr>
        <w:t>3.4 投标保证金</w:t>
      </w:r>
      <w:bookmarkEnd w:id="116"/>
    </w:p>
    <w:p w14:paraId="58A6554E">
      <w:pPr>
        <w:widowControl w:val="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3.4.1投标人在递交投标文件的同时，应按投标人须知前附表规定的金额、形式递交投标保证金，并作为其投标文件的组成部分。投标保证金应当从其基本账户转出并在投标文件中附上开户许可证或基本存款账户信息。联合体投标的，其投标保证金可以由牵头人递交。</w:t>
      </w:r>
    </w:p>
    <w:p w14:paraId="6A14B7FA">
      <w:pPr>
        <w:spacing w:line="360" w:lineRule="auto"/>
        <w:ind w:left="479" w:leftChars="228"/>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3.4.2投标人不按本章第3.4.1项要求提交投标保证金的，其投标将被视为无效投标。</w:t>
      </w:r>
    </w:p>
    <w:p w14:paraId="18698AA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3.4.3招标人或者招标代理机构应当自中标通知书发出之日起5个工作日内退还未中标人的投标保证金，自采购合同签订之日起5个工作日内退还中标人的投标保证金。</w:t>
      </w:r>
    </w:p>
    <w:p w14:paraId="6130165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3.4.4有下列情形之一的，投标保证金将不予退还：</w:t>
      </w:r>
    </w:p>
    <w:p w14:paraId="17D4544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(1)投标人在投标有效期内撤销投标文件；</w:t>
      </w:r>
    </w:p>
    <w:p w14:paraId="6D80806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(2)中标人在收到中标通知书后，无正当理由不与招标人订立合同，在签订合同时向招标人提出附加条件，或者不按照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要求提交履约保证金；</w:t>
      </w:r>
    </w:p>
    <w:p w14:paraId="7AD4B35D">
      <w:pPr>
        <w:spacing w:line="360" w:lineRule="auto"/>
        <w:ind w:left="479" w:leftChars="228"/>
        <w:rPr>
          <w:rFonts w:ascii="宋体" w:hAnsi="宋体" w:cs="宋体"/>
          <w:i w:val="0"/>
          <w:iCs w:val="0"/>
          <w:color w:val="auto"/>
          <w:sz w:val="24"/>
          <w:szCs w:val="24"/>
          <w:highlight w:val="none"/>
        </w:rPr>
      </w:pPr>
      <w:bookmarkStart w:id="117" w:name="_Toc32408"/>
      <w:bookmarkEnd w:id="117"/>
      <w:bookmarkStart w:id="118" w:name="_Toc4859"/>
      <w:r>
        <w:rPr>
          <w:rFonts w:hint="eastAsia" w:ascii="宋体" w:hAnsi="宋体" w:cs="宋体"/>
          <w:i w:val="0"/>
          <w:iCs w:val="0"/>
          <w:color w:val="auto"/>
          <w:sz w:val="24"/>
          <w:szCs w:val="24"/>
          <w:highlight w:val="none"/>
        </w:rPr>
        <w:t>(3)其他法律法规要求不予退还投标保证金的情形。</w:t>
      </w:r>
    </w:p>
    <w:p w14:paraId="1E8FFA4C">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3.5投标文件的编制</w:t>
      </w:r>
      <w:bookmarkEnd w:id="118"/>
    </w:p>
    <w:p w14:paraId="3D6272C5">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3.5.1投标文件应按第六章“投标文件格式”进行编写。</w:t>
      </w:r>
    </w:p>
    <w:p w14:paraId="36ABA6F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3.5.</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rPr>
        <w:t>(1)投标文件应用不褪色的材料书写或打印。由投标人的法定代表人(单位负责人)签字或盖章的，应附法定代表人(单位负责人)身份证明书，由代理人签字或盖章的，应附授权委托书，身份证明书或授权委托书应符合第六章“投标文件格式”的要求。投标文件应尽量避免涂改、行间插字或删除。如果出现上述情况，改动之处应由投标人的法定代表人(单位负责人)或其授权的代理人签字或加盖单位公章。</w:t>
      </w:r>
    </w:p>
    <w:p w14:paraId="20F9D6AE">
      <w:pPr>
        <w:numPr>
          <w:ilvl w:val="-1"/>
          <w:numId w:val="0"/>
        </w:numPr>
        <w:spacing w:line="360" w:lineRule="auto"/>
        <w:ind w:firstLine="480" w:firstLineChars="200"/>
        <w:rPr>
          <w:rFonts w:hint="eastAsia"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lang w:eastAsia="zh-CN"/>
        </w:rPr>
        <w:t>）</w:t>
      </w:r>
      <w:r>
        <w:rPr>
          <w:rFonts w:hint="eastAsia" w:ascii="宋体" w:hAnsi="宋体" w:cs="宋体"/>
          <w:i w:val="0"/>
          <w:iCs w:val="0"/>
          <w:color w:val="auto"/>
          <w:sz w:val="24"/>
          <w:szCs w:val="24"/>
          <w:highlight w:val="none"/>
        </w:rPr>
        <w:t>投标文件份数及其他要求见投标人须知前附表。正本和副本的封面上应清楚地标记“正本”或“副本”的字样。投标人应根据投标人须知前附表要求提供电子版文件。当正本与副本不一致时，以正本为准；当电子版文件和纸质版文件不一致时，以纸质版文件为准。</w:t>
      </w:r>
    </w:p>
    <w:p w14:paraId="48942906">
      <w:pPr>
        <w:spacing w:line="360" w:lineRule="auto"/>
        <w:ind w:firstLine="480" w:firstLineChars="200"/>
        <w:rPr>
          <w:rFonts w:hint="eastAsia" w:ascii="宋体" w:hAnsi="宋体" w:eastAsia="宋体"/>
          <w:i w:val="0"/>
          <w:iCs w:val="0"/>
          <w:color w:val="auto"/>
          <w:sz w:val="24"/>
          <w:szCs w:val="24"/>
          <w:highlight w:val="none"/>
          <w:lang w:val="en-US" w:eastAsia="zh-CN"/>
        </w:rPr>
      </w:pPr>
      <w:r>
        <w:rPr>
          <w:rFonts w:hint="eastAsia" w:ascii="宋体" w:hAnsi="宋体"/>
          <w:i w:val="0"/>
          <w:iCs w:val="0"/>
          <w:color w:val="auto"/>
          <w:sz w:val="24"/>
          <w:szCs w:val="24"/>
          <w:highlight w:val="none"/>
        </w:rPr>
        <w:t>(</w:t>
      </w:r>
      <w:r>
        <w:rPr>
          <w:rFonts w:hint="eastAsia" w:ascii="宋体" w:hAnsi="宋体"/>
          <w:i w:val="0"/>
          <w:iCs w:val="0"/>
          <w:color w:val="auto"/>
          <w:sz w:val="24"/>
          <w:szCs w:val="24"/>
          <w:highlight w:val="none"/>
          <w:lang w:val="en-US" w:eastAsia="zh-CN"/>
        </w:rPr>
        <w:t>3</w:t>
      </w:r>
      <w:r>
        <w:rPr>
          <w:rFonts w:hint="eastAsia" w:ascii="宋体" w:hAnsi="宋体"/>
          <w:i w:val="0"/>
          <w:iCs w:val="0"/>
          <w:color w:val="auto"/>
          <w:sz w:val="24"/>
          <w:szCs w:val="24"/>
          <w:highlight w:val="none"/>
        </w:rPr>
        <w:t>)</w:t>
      </w:r>
      <w:r>
        <w:rPr>
          <w:rFonts w:hint="eastAsia" w:ascii="宋体" w:hAnsi="宋体" w:eastAsia="宋体" w:cs="宋体"/>
          <w:i w:val="0"/>
          <w:iCs w:val="0"/>
          <w:color w:val="auto"/>
          <w:sz w:val="24"/>
          <w:szCs w:val="24"/>
          <w:highlight w:val="none"/>
        </w:rPr>
        <w:t>投标文件的正本与副本应分别装订</w:t>
      </w:r>
      <w:r>
        <w:rPr>
          <w:rFonts w:hint="eastAsia" w:ascii="宋体" w:hAnsi="宋体" w:eastAsia="宋体" w:cs="宋体"/>
          <w:i w:val="0"/>
          <w:iCs w:val="0"/>
          <w:color w:val="auto"/>
          <w:sz w:val="24"/>
          <w:szCs w:val="24"/>
          <w:highlight w:val="none"/>
          <w:lang w:val="en-US" w:eastAsia="zh-CN"/>
        </w:rPr>
        <w:t>（不允许活页装订）</w:t>
      </w:r>
      <w:r>
        <w:rPr>
          <w:rFonts w:hint="eastAsia" w:ascii="宋体" w:hAnsi="宋体" w:eastAsia="宋体" w:cs="宋体"/>
          <w:i w:val="0"/>
          <w:iCs w:val="0"/>
          <w:color w:val="auto"/>
          <w:sz w:val="24"/>
          <w:szCs w:val="24"/>
          <w:highlight w:val="none"/>
        </w:rPr>
        <w:t>，并编制目录</w:t>
      </w:r>
      <w:r>
        <w:rPr>
          <w:rFonts w:hint="eastAsia" w:ascii="宋体" w:hAnsi="宋体" w:eastAsia="宋体" w:cs="宋体"/>
          <w:i w:val="0"/>
          <w:iCs w:val="0"/>
          <w:color w:val="auto"/>
          <w:sz w:val="24"/>
          <w:szCs w:val="24"/>
          <w:highlight w:val="none"/>
          <w:lang w:eastAsia="zh-CN"/>
        </w:rPr>
        <w:t>。</w:t>
      </w:r>
    </w:p>
    <w:p w14:paraId="7931F781">
      <w:pPr>
        <w:bidi w:val="0"/>
        <w:jc w:val="center"/>
        <w:rPr>
          <w:rFonts w:hint="eastAsia"/>
          <w:b/>
          <w:bCs/>
          <w:sz w:val="28"/>
          <w:szCs w:val="28"/>
        </w:rPr>
      </w:pPr>
      <w:bookmarkStart w:id="119" w:name="_Toc1490"/>
      <w:bookmarkEnd w:id="119"/>
      <w:bookmarkStart w:id="120" w:name="_Toc13757"/>
      <w:bookmarkEnd w:id="120"/>
      <w:bookmarkStart w:id="121" w:name="_Toc15261"/>
      <w:bookmarkStart w:id="122" w:name="_Toc5134"/>
      <w:bookmarkStart w:id="123" w:name="_Toc7149"/>
      <w:r>
        <w:rPr>
          <w:rFonts w:hint="eastAsia"/>
          <w:b/>
          <w:bCs/>
          <w:sz w:val="28"/>
          <w:szCs w:val="28"/>
        </w:rPr>
        <w:t>4.投标</w:t>
      </w:r>
      <w:bookmarkEnd w:id="121"/>
      <w:bookmarkEnd w:id="122"/>
      <w:bookmarkEnd w:id="123"/>
    </w:p>
    <w:p w14:paraId="7F1691C9">
      <w:pPr>
        <w:spacing w:line="360" w:lineRule="auto"/>
        <w:rPr>
          <w:rFonts w:ascii="宋体" w:hAnsi="宋体" w:cs="宋体"/>
          <w:b/>
          <w:i w:val="0"/>
          <w:iCs w:val="0"/>
          <w:color w:val="auto"/>
          <w:sz w:val="24"/>
          <w:szCs w:val="24"/>
          <w:highlight w:val="none"/>
        </w:rPr>
      </w:pPr>
      <w:bookmarkStart w:id="124" w:name="_Toc1523"/>
      <w:bookmarkEnd w:id="124"/>
      <w:bookmarkStart w:id="125" w:name="_Toc25497"/>
      <w:r>
        <w:rPr>
          <w:rFonts w:hint="eastAsia" w:ascii="宋体" w:hAnsi="宋体" w:cs="宋体"/>
          <w:b/>
          <w:i w:val="0"/>
          <w:iCs w:val="0"/>
          <w:color w:val="auto"/>
          <w:sz w:val="24"/>
          <w:szCs w:val="24"/>
          <w:highlight w:val="none"/>
        </w:rPr>
        <w:t>4.1 投标文件的密封和标记</w:t>
      </w:r>
      <w:bookmarkEnd w:id="125"/>
    </w:p>
    <w:p w14:paraId="7029EB88">
      <w:pPr>
        <w:spacing w:line="360" w:lineRule="auto"/>
        <w:ind w:firstLine="480" w:firstLineChars="200"/>
        <w:rPr>
          <w:rFonts w:ascii="宋体" w:hAnsi="宋体" w:cs="宋体"/>
          <w:i w:val="0"/>
          <w:iCs w:val="0"/>
          <w:color w:val="auto"/>
          <w:sz w:val="24"/>
          <w:szCs w:val="24"/>
          <w:highlight w:val="none"/>
        </w:rPr>
      </w:pPr>
      <w:bookmarkStart w:id="126" w:name="_Toc27596"/>
      <w:bookmarkEnd w:id="126"/>
      <w:r>
        <w:rPr>
          <w:rFonts w:hint="eastAsia" w:ascii="宋体" w:hAnsi="宋体" w:cs="宋体"/>
          <w:i w:val="0"/>
          <w:iCs w:val="0"/>
          <w:color w:val="auto"/>
          <w:sz w:val="24"/>
          <w:szCs w:val="24"/>
          <w:highlight w:val="none"/>
        </w:rPr>
        <w:t>4.1.1投标文件</w:t>
      </w:r>
      <w:r>
        <w:rPr>
          <w:rFonts w:hint="eastAsia" w:ascii="宋体" w:hAnsi="宋体" w:cs="宋体"/>
          <w:i w:val="0"/>
          <w:iCs w:val="0"/>
          <w:color w:val="auto"/>
          <w:sz w:val="24"/>
          <w:highlight w:val="none"/>
        </w:rPr>
        <w:t>密封要求</w:t>
      </w:r>
      <w:r>
        <w:rPr>
          <w:rFonts w:hint="eastAsia" w:ascii="宋体" w:hAnsi="宋体" w:cs="宋体"/>
          <w:i w:val="0"/>
          <w:iCs w:val="0"/>
          <w:color w:val="auto"/>
          <w:sz w:val="24"/>
          <w:szCs w:val="24"/>
          <w:highlight w:val="none"/>
        </w:rPr>
        <w:t>和封套上应载明的信息见投标人须知前附表。</w:t>
      </w:r>
    </w:p>
    <w:p w14:paraId="5D81F26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4.1.2未按本章第4.1.1项要求密封和标记的投标文件，招标人将予以拒收。</w:t>
      </w:r>
    </w:p>
    <w:p w14:paraId="0505C0AC">
      <w:pPr>
        <w:spacing w:line="360" w:lineRule="auto"/>
        <w:rPr>
          <w:rFonts w:ascii="宋体" w:hAnsi="宋体" w:cs="宋体"/>
          <w:b/>
          <w:i w:val="0"/>
          <w:iCs w:val="0"/>
          <w:color w:val="auto"/>
          <w:sz w:val="24"/>
          <w:szCs w:val="24"/>
          <w:highlight w:val="none"/>
        </w:rPr>
      </w:pPr>
      <w:bookmarkStart w:id="127" w:name="_Toc20611"/>
      <w:bookmarkEnd w:id="127"/>
      <w:bookmarkStart w:id="128" w:name="_Toc9134"/>
      <w:r>
        <w:rPr>
          <w:rFonts w:hint="eastAsia" w:ascii="宋体" w:hAnsi="宋体" w:cs="宋体"/>
          <w:b/>
          <w:i w:val="0"/>
          <w:iCs w:val="0"/>
          <w:color w:val="auto"/>
          <w:sz w:val="24"/>
          <w:szCs w:val="24"/>
          <w:highlight w:val="none"/>
        </w:rPr>
        <w:t>4.2 投标文件的递交</w:t>
      </w:r>
      <w:bookmarkEnd w:id="128"/>
    </w:p>
    <w:p w14:paraId="459F92BA">
      <w:pPr>
        <w:spacing w:line="360" w:lineRule="auto"/>
        <w:ind w:firstLine="480" w:firstLineChars="200"/>
        <w:rPr>
          <w:rFonts w:ascii="宋体" w:hAnsi="宋体" w:cs="宋体"/>
          <w:i w:val="0"/>
          <w:iCs w:val="0"/>
          <w:color w:val="auto"/>
          <w:sz w:val="24"/>
          <w:szCs w:val="24"/>
          <w:highlight w:val="none"/>
        </w:rPr>
      </w:pPr>
      <w:bookmarkStart w:id="129" w:name="_Toc21133"/>
      <w:bookmarkEnd w:id="129"/>
      <w:r>
        <w:rPr>
          <w:rFonts w:hint="eastAsia" w:ascii="宋体" w:hAnsi="宋体" w:cs="宋体"/>
          <w:i w:val="0"/>
          <w:iCs w:val="0"/>
          <w:color w:val="auto"/>
          <w:sz w:val="24"/>
          <w:szCs w:val="24"/>
          <w:highlight w:val="none"/>
        </w:rPr>
        <w:t>4.2.1投标人应在投标人须知前附表规定的投标截止时间前递交投标文件。</w:t>
      </w:r>
    </w:p>
    <w:p w14:paraId="455F58F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4.2.2投标文件递交时间和地点：见投标人须知前附表。</w:t>
      </w:r>
    </w:p>
    <w:p w14:paraId="5F962BC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4.2.3除投标人须知前附表另有规定外，投标人所递交的投标文件不予退还。</w:t>
      </w:r>
    </w:p>
    <w:p w14:paraId="17C0AF4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4.2.4逾期送达的、未送达指定地点的或者不按照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要求密封的投标文件，招标人、招标代理机构将予以拒收。</w:t>
      </w:r>
    </w:p>
    <w:p w14:paraId="610993E7">
      <w:pPr>
        <w:spacing w:line="360" w:lineRule="auto"/>
        <w:rPr>
          <w:rFonts w:ascii="宋体" w:hAnsi="宋体" w:cs="宋体"/>
          <w:b/>
          <w:i w:val="0"/>
          <w:iCs w:val="0"/>
          <w:color w:val="auto"/>
          <w:sz w:val="24"/>
          <w:szCs w:val="24"/>
          <w:highlight w:val="none"/>
        </w:rPr>
      </w:pPr>
      <w:bookmarkStart w:id="130" w:name="_Toc8975"/>
      <w:bookmarkEnd w:id="130"/>
      <w:bookmarkStart w:id="131" w:name="_Toc5071"/>
      <w:r>
        <w:rPr>
          <w:rFonts w:hint="eastAsia" w:ascii="宋体" w:hAnsi="宋体" w:cs="宋体"/>
          <w:b/>
          <w:i w:val="0"/>
          <w:iCs w:val="0"/>
          <w:color w:val="auto"/>
          <w:sz w:val="24"/>
          <w:szCs w:val="24"/>
          <w:highlight w:val="none"/>
        </w:rPr>
        <w:t>4.3 投标文件的修改与撤回</w:t>
      </w:r>
      <w:bookmarkEnd w:id="131"/>
    </w:p>
    <w:p w14:paraId="4FCE8D96">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4.3.1在本章第4.2.1项规定的投标截止时间前，投标人可以修改或撤回已递交的投标文件，但应以书面形式通知招标人。</w:t>
      </w:r>
    </w:p>
    <w:p w14:paraId="1F7F8C0B">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4.3.2投标人修改或撤回已递交投标文件的书面通知应按照本章第3.5.</w:t>
      </w:r>
      <w:r>
        <w:rPr>
          <w:rFonts w:hint="eastAsia" w:ascii="宋体" w:hAnsi="宋体" w:cs="宋体"/>
          <w:i w:val="0"/>
          <w:iCs w:val="0"/>
          <w:color w:val="auto"/>
          <w:sz w:val="24"/>
          <w:szCs w:val="24"/>
          <w:highlight w:val="none"/>
          <w:lang w:val="en-US" w:eastAsia="zh-CN"/>
        </w:rPr>
        <w:t>2</w:t>
      </w:r>
      <w:r>
        <w:rPr>
          <w:rFonts w:hint="eastAsia" w:ascii="宋体" w:hAnsi="宋体" w:cs="宋体"/>
          <w:i w:val="0"/>
          <w:iCs w:val="0"/>
          <w:color w:val="auto"/>
          <w:sz w:val="24"/>
          <w:szCs w:val="24"/>
          <w:highlight w:val="none"/>
        </w:rPr>
        <w:t>项的要求签字或盖章。招标人收到书面通知后，向投标人出具签收回执。</w:t>
      </w:r>
    </w:p>
    <w:p w14:paraId="4F865BD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4.3.3投标人在投标截止时间前撤回已提交的投标文件的，招标人或者招标代理机构应当自收到投标人书面撤回通知之日起5个工作日内，退还已收取的投标保证金，但因投标人自身原因导致无法及时退还的除外。</w:t>
      </w:r>
    </w:p>
    <w:p w14:paraId="54C7C4E1">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4.3.4修改的内容为投标文件的组成部分。修改的投标文件应按照本章第3条、第4条的规定进行编制、密封、标记和递交，并标明“修改”字样。</w:t>
      </w:r>
    </w:p>
    <w:p w14:paraId="0EF37903">
      <w:pPr>
        <w:bidi w:val="0"/>
        <w:jc w:val="center"/>
        <w:rPr>
          <w:rFonts w:hint="eastAsia"/>
          <w:b/>
          <w:bCs/>
          <w:sz w:val="28"/>
          <w:szCs w:val="28"/>
        </w:rPr>
      </w:pPr>
      <w:bookmarkStart w:id="132" w:name="_Toc9271"/>
      <w:bookmarkEnd w:id="132"/>
      <w:bookmarkStart w:id="133" w:name="_Toc14362"/>
      <w:bookmarkEnd w:id="133"/>
      <w:bookmarkStart w:id="134" w:name="_Toc20324"/>
      <w:bookmarkStart w:id="135" w:name="_Toc7233"/>
      <w:bookmarkStart w:id="136" w:name="_Toc6373"/>
      <w:r>
        <w:rPr>
          <w:rFonts w:hint="eastAsia"/>
          <w:b/>
          <w:bCs/>
          <w:sz w:val="28"/>
          <w:szCs w:val="28"/>
        </w:rPr>
        <w:t>5.开标</w:t>
      </w:r>
      <w:bookmarkEnd w:id="134"/>
      <w:bookmarkEnd w:id="135"/>
      <w:bookmarkEnd w:id="136"/>
    </w:p>
    <w:p w14:paraId="6CE34C35">
      <w:pPr>
        <w:spacing w:line="360" w:lineRule="auto"/>
        <w:rPr>
          <w:rFonts w:ascii="宋体" w:hAnsi="宋体" w:cs="宋体"/>
          <w:b/>
          <w:i w:val="0"/>
          <w:iCs w:val="0"/>
          <w:color w:val="auto"/>
          <w:sz w:val="24"/>
          <w:szCs w:val="24"/>
          <w:highlight w:val="none"/>
        </w:rPr>
      </w:pPr>
      <w:bookmarkStart w:id="137" w:name="_Toc1527"/>
      <w:bookmarkEnd w:id="137"/>
      <w:bookmarkStart w:id="138" w:name="_Toc9143"/>
      <w:r>
        <w:rPr>
          <w:rFonts w:hint="eastAsia" w:ascii="宋体" w:hAnsi="宋体" w:cs="宋体"/>
          <w:b/>
          <w:i w:val="0"/>
          <w:iCs w:val="0"/>
          <w:color w:val="auto"/>
          <w:sz w:val="24"/>
          <w:szCs w:val="24"/>
          <w:highlight w:val="none"/>
        </w:rPr>
        <w:t>5.1 开标时间和地点</w:t>
      </w:r>
      <w:bookmarkEnd w:id="138"/>
    </w:p>
    <w:p w14:paraId="4DD95C57">
      <w:pPr>
        <w:spacing w:line="360" w:lineRule="auto"/>
        <w:ind w:firstLine="480" w:firstLineChars="200"/>
        <w:rPr>
          <w:rFonts w:ascii="宋体" w:hAnsi="宋体" w:cs="宋体"/>
          <w:i w:val="0"/>
          <w:iCs w:val="0"/>
          <w:color w:val="auto"/>
          <w:sz w:val="24"/>
          <w:szCs w:val="24"/>
          <w:highlight w:val="none"/>
        </w:rPr>
      </w:pPr>
      <w:bookmarkStart w:id="139" w:name="_Toc21332"/>
      <w:bookmarkEnd w:id="139"/>
      <w:bookmarkStart w:id="140" w:name="_Toc27792"/>
      <w:bookmarkEnd w:id="140"/>
      <w:bookmarkStart w:id="141" w:name="_Toc24636"/>
      <w:r>
        <w:rPr>
          <w:rFonts w:hint="eastAsia" w:ascii="宋体" w:hAnsi="宋体" w:cs="宋体"/>
          <w:i w:val="0"/>
          <w:iCs w:val="0"/>
          <w:color w:val="auto"/>
          <w:sz w:val="24"/>
          <w:szCs w:val="24"/>
          <w:highlight w:val="none"/>
        </w:rPr>
        <w:t>开标时间和地点见投标人须知前附表，开标应邀请所有投标人的法定代表人（单位负责人）或其委托代理人准时参加。</w:t>
      </w:r>
    </w:p>
    <w:p w14:paraId="085EF86C">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5.2 开标程序</w:t>
      </w:r>
      <w:bookmarkEnd w:id="141"/>
    </w:p>
    <w:p w14:paraId="6D882184">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主持人按下列程序进行开标：</w:t>
      </w:r>
    </w:p>
    <w:p w14:paraId="336FC2F9">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(1)宣布开标纪律；</w:t>
      </w:r>
    </w:p>
    <w:p w14:paraId="183E389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(2)公布在投标截止时间前递交投标文件的投标人情况；</w:t>
      </w:r>
    </w:p>
    <w:p w14:paraId="3686D0C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(3)介绍开标人、唱标人、记录人</w:t>
      </w:r>
      <w:r>
        <w:rPr>
          <w:rFonts w:hint="eastAsia" w:ascii="宋体" w:hAnsi="宋体" w:cs="宋体"/>
          <w:i w:val="0"/>
          <w:iCs w:val="0"/>
          <w:color w:val="auto"/>
          <w:highlight w:val="none"/>
        </w:rPr>
        <w:t>、</w:t>
      </w:r>
      <w:r>
        <w:rPr>
          <w:rFonts w:hint="eastAsia" w:ascii="宋体" w:hAnsi="宋体" w:cs="宋体"/>
          <w:i w:val="0"/>
          <w:iCs w:val="0"/>
          <w:color w:val="auto"/>
          <w:sz w:val="24"/>
          <w:szCs w:val="24"/>
          <w:highlight w:val="none"/>
        </w:rPr>
        <w:t>监标人等有关人员；</w:t>
      </w:r>
    </w:p>
    <w:p w14:paraId="76FAB4EC">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(4)投标人或者其推选的代表检查投标文件的密封情况，按照投标人须知前附表规定的开标顺序当众开标，公布开标一览表中的内容及其他内容，并记录在案；</w:t>
      </w:r>
    </w:p>
    <w:p w14:paraId="519CA37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(5)投标人代表、招标人代表、记录人、监标人等有关人员在开标记录上签字确认；</w:t>
      </w:r>
    </w:p>
    <w:p w14:paraId="5F52AD2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(6)开标结束。</w:t>
      </w:r>
    </w:p>
    <w:p w14:paraId="2DA3B03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投标人不足3家的，不得开标。</w:t>
      </w:r>
    </w:p>
    <w:p w14:paraId="5642D9C6">
      <w:pPr>
        <w:spacing w:line="360" w:lineRule="auto"/>
        <w:rPr>
          <w:rFonts w:ascii="宋体" w:hAnsi="宋体" w:cs="宋体"/>
          <w:b/>
          <w:i w:val="0"/>
          <w:iCs w:val="0"/>
          <w:color w:val="auto"/>
          <w:sz w:val="24"/>
          <w:szCs w:val="24"/>
          <w:highlight w:val="none"/>
        </w:rPr>
      </w:pPr>
      <w:bookmarkStart w:id="142" w:name="_Toc27216"/>
      <w:bookmarkEnd w:id="142"/>
      <w:bookmarkStart w:id="143" w:name="_Toc22860"/>
      <w:r>
        <w:rPr>
          <w:rFonts w:hint="eastAsia" w:ascii="宋体" w:hAnsi="宋体" w:cs="宋体"/>
          <w:b/>
          <w:i w:val="0"/>
          <w:iCs w:val="0"/>
          <w:color w:val="auto"/>
          <w:sz w:val="24"/>
          <w:szCs w:val="24"/>
          <w:highlight w:val="none"/>
        </w:rPr>
        <w:t>5.3 开标</w:t>
      </w:r>
      <w:bookmarkEnd w:id="143"/>
      <w:r>
        <w:rPr>
          <w:rFonts w:hint="eastAsia" w:ascii="宋体" w:hAnsi="宋体" w:cs="宋体"/>
          <w:b/>
          <w:i w:val="0"/>
          <w:iCs w:val="0"/>
          <w:color w:val="auto"/>
          <w:sz w:val="24"/>
          <w:szCs w:val="24"/>
          <w:highlight w:val="none"/>
        </w:rPr>
        <w:t>异议</w:t>
      </w:r>
    </w:p>
    <w:p w14:paraId="3BE8CE8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开标过程应当由招标人或者招标代理机构负责记录，由参加开标的各投标人代表和相关工作人员签字确认后随</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一并存档。</w:t>
      </w:r>
    </w:p>
    <w:p w14:paraId="49E23EB8">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代表对开标过程和开标记录有异议，以及认为招标人、招标代理机构相关工作人员有需要回避的情形的，应当场提出询问或者回避申请。招标人、招标代理机构对投标人代表提出的询问或者回避申请应当及时处理。</w:t>
      </w:r>
    </w:p>
    <w:p w14:paraId="4E4B2790">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投标人未参加开标的，视同认可开标结果。</w:t>
      </w:r>
    </w:p>
    <w:p w14:paraId="1F97CA88">
      <w:pPr>
        <w:bidi w:val="0"/>
        <w:jc w:val="center"/>
        <w:rPr>
          <w:rFonts w:hint="eastAsia"/>
          <w:b/>
          <w:bCs/>
          <w:sz w:val="28"/>
          <w:szCs w:val="28"/>
        </w:rPr>
      </w:pPr>
      <w:bookmarkStart w:id="144" w:name="_Toc26040"/>
      <w:bookmarkEnd w:id="144"/>
      <w:bookmarkStart w:id="145" w:name="_Toc27754"/>
      <w:bookmarkEnd w:id="145"/>
      <w:bookmarkStart w:id="146" w:name="_Toc25563"/>
      <w:bookmarkEnd w:id="146"/>
      <w:bookmarkStart w:id="147" w:name="_Toc28237"/>
      <w:bookmarkEnd w:id="147"/>
      <w:bookmarkStart w:id="148" w:name="_Toc11518"/>
      <w:bookmarkEnd w:id="148"/>
      <w:bookmarkStart w:id="149" w:name="_Toc6727"/>
      <w:bookmarkStart w:id="150" w:name="_Toc16055"/>
      <w:bookmarkStart w:id="151" w:name="_Toc29087"/>
      <w:bookmarkStart w:id="152" w:name="_Toc3756"/>
      <w:bookmarkStart w:id="153" w:name="_Toc6336"/>
      <w:r>
        <w:rPr>
          <w:rFonts w:hint="eastAsia"/>
          <w:b/>
          <w:bCs/>
          <w:sz w:val="28"/>
          <w:szCs w:val="28"/>
        </w:rPr>
        <w:t>6.评标</w:t>
      </w:r>
      <w:bookmarkEnd w:id="149"/>
      <w:bookmarkEnd w:id="150"/>
      <w:bookmarkEnd w:id="151"/>
      <w:bookmarkEnd w:id="152"/>
    </w:p>
    <w:bookmarkEnd w:id="153"/>
    <w:p w14:paraId="00C2E95D">
      <w:pPr>
        <w:spacing w:line="360" w:lineRule="auto"/>
        <w:rPr>
          <w:rFonts w:ascii="宋体" w:hAnsi="宋体" w:cs="宋体"/>
          <w:b/>
          <w:i w:val="0"/>
          <w:iCs w:val="0"/>
          <w:color w:val="auto"/>
          <w:sz w:val="24"/>
          <w:szCs w:val="24"/>
          <w:highlight w:val="none"/>
        </w:rPr>
      </w:pPr>
      <w:bookmarkStart w:id="154" w:name="_Toc11207"/>
      <w:bookmarkEnd w:id="154"/>
      <w:bookmarkStart w:id="155" w:name="_Toc4614591"/>
      <w:bookmarkStart w:id="156" w:name="_Toc13313"/>
      <w:r>
        <w:rPr>
          <w:rFonts w:hint="eastAsia" w:ascii="宋体" w:hAnsi="宋体" w:cs="宋体"/>
          <w:b/>
          <w:i w:val="0"/>
          <w:iCs w:val="0"/>
          <w:color w:val="auto"/>
          <w:sz w:val="24"/>
          <w:szCs w:val="24"/>
          <w:highlight w:val="none"/>
        </w:rPr>
        <w:t>6.1 评标委员会</w:t>
      </w:r>
      <w:bookmarkEnd w:id="155"/>
    </w:p>
    <w:p w14:paraId="6F2FD6F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6.1.1评标由招标人依法组建的评标委员会负责。评标委员会由招标人代表和有关技术、经济等方面的专家组成。评标委员会成员人数见投标人须知前附表。</w:t>
      </w:r>
    </w:p>
    <w:p w14:paraId="636A1CDE">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6.1.2评标委员会成员有下列情形之一的，应当回避：</w:t>
      </w:r>
    </w:p>
    <w:p w14:paraId="20B54271">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(1)投标人或投标人主要负责人的近亲属；</w:t>
      </w:r>
    </w:p>
    <w:p w14:paraId="7B807CFD">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(2)项目主管部门或者行政监督部门的人员；</w:t>
      </w:r>
    </w:p>
    <w:p w14:paraId="13F421E2">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(3)与投标人有经济利益关系，可能影响对投标公正评审的；</w:t>
      </w:r>
    </w:p>
    <w:p w14:paraId="76673C8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(4)曾因在招标、评标以及其他与招标投标有关活动中从事违法行为而受过行政处罚或刑事处罚的；</w:t>
      </w:r>
    </w:p>
    <w:p w14:paraId="6DB95E3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(5)与投标人有其他利害关系。</w:t>
      </w:r>
    </w:p>
    <w:p w14:paraId="4FA45D1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6.1.3评标过程中，评标委员会成员有回避事由、擅离职守或者因健康等原因不能继续评标的，招标人有权更换。被更换的评标委员会成员作出的评审结论无效，由更换后的评标委员会成员重新进行评审。</w:t>
      </w:r>
    </w:p>
    <w:p w14:paraId="05EF873B">
      <w:pPr>
        <w:spacing w:line="360" w:lineRule="auto"/>
        <w:rPr>
          <w:rFonts w:ascii="宋体" w:hAnsi="宋体" w:cs="宋体"/>
          <w:b/>
          <w:i w:val="0"/>
          <w:iCs w:val="0"/>
          <w:color w:val="auto"/>
          <w:sz w:val="24"/>
          <w:szCs w:val="24"/>
          <w:highlight w:val="none"/>
        </w:rPr>
      </w:pPr>
      <w:bookmarkStart w:id="157" w:name="_bookmark57"/>
      <w:bookmarkEnd w:id="157"/>
      <w:bookmarkStart w:id="158" w:name="_Toc4614592"/>
      <w:r>
        <w:rPr>
          <w:rFonts w:hint="eastAsia" w:ascii="宋体" w:hAnsi="宋体" w:cs="宋体"/>
          <w:b/>
          <w:i w:val="0"/>
          <w:iCs w:val="0"/>
          <w:color w:val="auto"/>
          <w:sz w:val="24"/>
          <w:szCs w:val="24"/>
          <w:highlight w:val="none"/>
        </w:rPr>
        <w:t>6.2 评标原则</w:t>
      </w:r>
      <w:bookmarkEnd w:id="158"/>
    </w:p>
    <w:p w14:paraId="7A264E14">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评标活动</w:t>
      </w:r>
      <w:r>
        <w:rPr>
          <w:rFonts w:hint="eastAsia" w:ascii="宋体" w:hAnsi="宋体" w:cs="宋体"/>
          <w:i w:val="0"/>
          <w:iCs w:val="0"/>
          <w:color w:val="auto"/>
          <w:sz w:val="24"/>
          <w:szCs w:val="24"/>
          <w:highlight w:val="none"/>
          <w:lang w:eastAsia="zh-CN"/>
        </w:rPr>
        <w:t>遵循“质量优先、价格合理、阳光操作、严格监管”</w:t>
      </w:r>
      <w:r>
        <w:rPr>
          <w:rFonts w:hint="eastAsia" w:ascii="宋体" w:hAnsi="宋体" w:cs="宋体"/>
          <w:i w:val="0"/>
          <w:iCs w:val="0"/>
          <w:color w:val="auto"/>
          <w:sz w:val="24"/>
          <w:szCs w:val="24"/>
          <w:highlight w:val="none"/>
        </w:rPr>
        <w:t>的原则。</w:t>
      </w:r>
      <w:bookmarkStart w:id="159" w:name="_bookmark58"/>
      <w:bookmarkEnd w:id="159"/>
    </w:p>
    <w:p w14:paraId="05E0297B">
      <w:pPr>
        <w:spacing w:line="360" w:lineRule="auto"/>
        <w:rPr>
          <w:rFonts w:ascii="宋体" w:hAnsi="宋体" w:cs="宋体"/>
          <w:b/>
          <w:i w:val="0"/>
          <w:iCs w:val="0"/>
          <w:color w:val="auto"/>
          <w:sz w:val="24"/>
          <w:szCs w:val="24"/>
          <w:highlight w:val="none"/>
        </w:rPr>
      </w:pPr>
      <w:bookmarkStart w:id="160" w:name="_Toc4614593"/>
      <w:r>
        <w:rPr>
          <w:rFonts w:hint="eastAsia" w:ascii="宋体" w:hAnsi="宋体" w:cs="宋体"/>
          <w:b/>
          <w:i w:val="0"/>
          <w:iCs w:val="0"/>
          <w:color w:val="auto"/>
          <w:sz w:val="24"/>
          <w:szCs w:val="24"/>
          <w:highlight w:val="none"/>
        </w:rPr>
        <w:t>6.3 评标</w:t>
      </w:r>
      <w:bookmarkEnd w:id="160"/>
    </w:p>
    <w:p w14:paraId="4E084D2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6.3.1评标委员会按照第三章“评标办法”规定的方法、评审因素、标准和程序对投标文件进行评审。第三章“评标办法”没有规定的方法、评审因素和标准，不作为评标依据。</w:t>
      </w:r>
    </w:p>
    <w:p w14:paraId="7A4BE81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6.3.2评标委员会按得分由高到低顺序推荐成交候选人，最终中标单位由招标人确定；</w:t>
      </w:r>
    </w:p>
    <w:p w14:paraId="6E1DB12C">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6.3.3若有效投标文件不足三个使投标明显缺乏竞争的，评标委员会可以否决全部投标。</w:t>
      </w:r>
    </w:p>
    <w:p w14:paraId="364CF843">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6.3.4若有效投标文件不足三个但仍然具备竞争力的，评标委员会可以继续按本</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的相关规定及评审办法向招标人推荐候选人。</w:t>
      </w:r>
    </w:p>
    <w:p w14:paraId="28AF90D7">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6.3.5投标人所有投标文件被否决的，招标人应当依法重新组织招标。</w:t>
      </w:r>
    </w:p>
    <w:p w14:paraId="1C6EFAFE">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6.3.6评标完成后，评标委员会应当向招标人提交书面评标报告和中标候选人名单。评标委员会推荐中标候选人的人数见投标人须知前附表。</w:t>
      </w:r>
    </w:p>
    <w:p w14:paraId="6086270F">
      <w:pPr>
        <w:bidi w:val="0"/>
        <w:jc w:val="center"/>
        <w:rPr>
          <w:rFonts w:hint="eastAsia"/>
          <w:b/>
          <w:bCs/>
          <w:sz w:val="28"/>
          <w:szCs w:val="28"/>
        </w:rPr>
      </w:pPr>
      <w:bookmarkStart w:id="161" w:name="_bookmark59"/>
      <w:bookmarkEnd w:id="161"/>
      <w:bookmarkStart w:id="162" w:name="_Toc2092"/>
      <w:bookmarkStart w:id="163" w:name="_Toc24966"/>
      <w:bookmarkStart w:id="164" w:name="_Toc4614594"/>
      <w:r>
        <w:rPr>
          <w:rFonts w:hint="eastAsia"/>
          <w:b/>
          <w:bCs/>
          <w:sz w:val="28"/>
          <w:szCs w:val="28"/>
        </w:rPr>
        <w:t>7.合同授予</w:t>
      </w:r>
      <w:bookmarkEnd w:id="162"/>
      <w:bookmarkEnd w:id="163"/>
      <w:bookmarkEnd w:id="164"/>
    </w:p>
    <w:p w14:paraId="606094C7">
      <w:pPr>
        <w:spacing w:line="360" w:lineRule="auto"/>
        <w:rPr>
          <w:rFonts w:ascii="宋体" w:hAnsi="宋体" w:cs="宋体"/>
          <w:b/>
          <w:i w:val="0"/>
          <w:iCs w:val="0"/>
          <w:color w:val="auto"/>
          <w:sz w:val="24"/>
          <w:szCs w:val="24"/>
          <w:highlight w:val="none"/>
        </w:rPr>
      </w:pPr>
      <w:bookmarkStart w:id="165" w:name="_bookmark60"/>
      <w:bookmarkEnd w:id="165"/>
      <w:bookmarkStart w:id="166" w:name="_Toc4614595"/>
      <w:r>
        <w:rPr>
          <w:rFonts w:hint="eastAsia" w:ascii="宋体" w:hAnsi="宋体" w:cs="宋体"/>
          <w:b/>
          <w:i w:val="0"/>
          <w:iCs w:val="0"/>
          <w:color w:val="auto"/>
          <w:sz w:val="24"/>
          <w:szCs w:val="24"/>
          <w:highlight w:val="none"/>
        </w:rPr>
        <w:t>7.1 中标候选人公示</w:t>
      </w:r>
      <w:bookmarkEnd w:id="166"/>
    </w:p>
    <w:p w14:paraId="6EB3A087">
      <w:pPr>
        <w:spacing w:line="360" w:lineRule="auto"/>
        <w:ind w:firstLine="480" w:firstLineChars="200"/>
        <w:rPr>
          <w:rFonts w:ascii="宋体" w:hAnsi="宋体" w:cs="宋体"/>
          <w:i w:val="0"/>
          <w:iCs w:val="0"/>
          <w:color w:val="auto"/>
          <w:sz w:val="24"/>
          <w:szCs w:val="24"/>
          <w:highlight w:val="none"/>
        </w:rPr>
      </w:pPr>
      <w:bookmarkStart w:id="167" w:name="_bookmark61"/>
      <w:bookmarkEnd w:id="167"/>
      <w:bookmarkStart w:id="168" w:name="_Toc4614596"/>
      <w:r>
        <w:rPr>
          <w:rFonts w:hint="eastAsia" w:ascii="宋体" w:hAnsi="宋体" w:cs="宋体"/>
          <w:i w:val="0"/>
          <w:iCs w:val="0"/>
          <w:color w:val="auto"/>
          <w:sz w:val="24"/>
          <w:szCs w:val="24"/>
          <w:highlight w:val="none"/>
        </w:rPr>
        <w:t>招标人在收到评标报告之日起3日内，按照投标人须知前附表规定的公示媒介和期限公示中标候选人。</w:t>
      </w:r>
    </w:p>
    <w:p w14:paraId="329ECF89">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7.2 评标结果异议</w:t>
      </w:r>
      <w:bookmarkEnd w:id="168"/>
    </w:p>
    <w:p w14:paraId="2A1AA5F9">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投标人或者其他利害关系人对评标结果有异议的，应当在中标候选人公示期间提出。招标人将在收到异议之日起3日内作出答复；作出答复前，将暂停招标投标活动。</w:t>
      </w:r>
    </w:p>
    <w:p w14:paraId="734E2C12">
      <w:pPr>
        <w:spacing w:line="360" w:lineRule="auto"/>
        <w:rPr>
          <w:rFonts w:ascii="宋体" w:hAnsi="宋体" w:cs="宋体"/>
          <w:b/>
          <w:i w:val="0"/>
          <w:iCs w:val="0"/>
          <w:color w:val="auto"/>
          <w:sz w:val="24"/>
          <w:szCs w:val="24"/>
          <w:highlight w:val="none"/>
        </w:rPr>
      </w:pPr>
      <w:bookmarkStart w:id="169" w:name="_bookmark62"/>
      <w:bookmarkEnd w:id="169"/>
      <w:bookmarkStart w:id="170" w:name="_Toc4614597"/>
      <w:r>
        <w:rPr>
          <w:rFonts w:hint="eastAsia" w:ascii="宋体" w:hAnsi="宋体" w:cs="宋体"/>
          <w:b/>
          <w:i w:val="0"/>
          <w:iCs w:val="0"/>
          <w:color w:val="auto"/>
          <w:sz w:val="24"/>
          <w:szCs w:val="24"/>
          <w:highlight w:val="none"/>
        </w:rPr>
        <w:t>7.3 中标候选人履约能力审查</w:t>
      </w:r>
      <w:bookmarkEnd w:id="170"/>
    </w:p>
    <w:p w14:paraId="61D5933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中标候选人的经营、财务状况发生较大变化或存在违法行为，招标人认为可能影响其履约能力的，将在发出中标通知书前提请原评标委员会按照</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规定的标准和方法进行审查确认。</w:t>
      </w:r>
    </w:p>
    <w:p w14:paraId="01E6F420">
      <w:pPr>
        <w:spacing w:line="360" w:lineRule="auto"/>
        <w:rPr>
          <w:rFonts w:ascii="宋体" w:hAnsi="宋体" w:cs="宋体"/>
          <w:b/>
          <w:i w:val="0"/>
          <w:iCs w:val="0"/>
          <w:color w:val="auto"/>
          <w:sz w:val="24"/>
          <w:szCs w:val="24"/>
          <w:highlight w:val="none"/>
        </w:rPr>
      </w:pPr>
      <w:bookmarkStart w:id="171" w:name="_bookmark63"/>
      <w:bookmarkEnd w:id="171"/>
      <w:bookmarkStart w:id="172" w:name="_Toc4614598"/>
      <w:r>
        <w:rPr>
          <w:rFonts w:hint="eastAsia" w:ascii="宋体" w:hAnsi="宋体" w:cs="宋体"/>
          <w:b/>
          <w:i w:val="0"/>
          <w:iCs w:val="0"/>
          <w:color w:val="auto"/>
          <w:sz w:val="24"/>
          <w:szCs w:val="24"/>
          <w:highlight w:val="none"/>
        </w:rPr>
        <w:t>7.4 定标</w:t>
      </w:r>
      <w:bookmarkEnd w:id="172"/>
    </w:p>
    <w:p w14:paraId="2D68FA4B">
      <w:pPr>
        <w:spacing w:line="360" w:lineRule="auto"/>
        <w:ind w:firstLine="540" w:firstLineChars="225"/>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按照投标人须知前附表的规定，招标人或招标人授权的评标委员会依法确定中标人。</w:t>
      </w:r>
    </w:p>
    <w:p w14:paraId="7D2F25CB">
      <w:pPr>
        <w:spacing w:line="360" w:lineRule="auto"/>
        <w:rPr>
          <w:rFonts w:ascii="宋体" w:hAnsi="宋体" w:cs="宋体"/>
          <w:b/>
          <w:i w:val="0"/>
          <w:iCs w:val="0"/>
          <w:color w:val="auto"/>
          <w:sz w:val="24"/>
          <w:szCs w:val="24"/>
          <w:highlight w:val="none"/>
        </w:rPr>
      </w:pPr>
      <w:bookmarkStart w:id="173" w:name="_bookmark64"/>
      <w:bookmarkEnd w:id="173"/>
      <w:bookmarkStart w:id="174" w:name="_Toc4614599"/>
      <w:r>
        <w:rPr>
          <w:rFonts w:hint="eastAsia" w:ascii="宋体" w:hAnsi="宋体" w:cs="宋体"/>
          <w:b/>
          <w:i w:val="0"/>
          <w:iCs w:val="0"/>
          <w:color w:val="auto"/>
          <w:sz w:val="24"/>
          <w:szCs w:val="24"/>
          <w:highlight w:val="none"/>
        </w:rPr>
        <w:t>7.5 中标通知</w:t>
      </w:r>
      <w:bookmarkEnd w:id="174"/>
    </w:p>
    <w:p w14:paraId="3BA08C81">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在本章第3.3款规定的投标有效期内，招标人以书面形式向中标人发出中标通知书。</w:t>
      </w:r>
    </w:p>
    <w:p w14:paraId="1277ACB7">
      <w:pPr>
        <w:spacing w:line="360" w:lineRule="auto"/>
        <w:rPr>
          <w:rFonts w:ascii="宋体" w:hAnsi="宋体" w:cs="宋体"/>
          <w:b/>
          <w:i w:val="0"/>
          <w:iCs w:val="0"/>
          <w:color w:val="auto"/>
          <w:sz w:val="24"/>
          <w:szCs w:val="24"/>
          <w:highlight w:val="none"/>
        </w:rPr>
      </w:pPr>
      <w:bookmarkStart w:id="175" w:name="_bookmark65"/>
      <w:bookmarkEnd w:id="175"/>
      <w:bookmarkStart w:id="176" w:name="_Toc4614600"/>
      <w:r>
        <w:rPr>
          <w:rFonts w:hint="eastAsia" w:ascii="宋体" w:hAnsi="宋体" w:cs="宋体"/>
          <w:b/>
          <w:i w:val="0"/>
          <w:iCs w:val="0"/>
          <w:color w:val="auto"/>
          <w:sz w:val="24"/>
          <w:szCs w:val="24"/>
          <w:highlight w:val="none"/>
        </w:rPr>
        <w:t>7.6 履约保证金</w:t>
      </w:r>
      <w:bookmarkEnd w:id="176"/>
    </w:p>
    <w:p w14:paraId="5F539139">
      <w:pPr>
        <w:spacing w:line="360" w:lineRule="auto"/>
        <w:ind w:firstLine="480" w:firstLineChars="200"/>
        <w:rPr>
          <w:rFonts w:hint="eastAsia" w:ascii="宋体" w:hAnsi="宋体" w:cs="宋体"/>
          <w:i w:val="0"/>
          <w:iCs w:val="0"/>
          <w:color w:val="auto"/>
          <w:kern w:val="0"/>
          <w:sz w:val="24"/>
          <w:highlight w:val="none"/>
          <w:lang w:eastAsia="zh-CN"/>
        </w:rPr>
      </w:pPr>
      <w:bookmarkStart w:id="177" w:name="_bookmark66"/>
      <w:bookmarkEnd w:id="177"/>
      <w:bookmarkStart w:id="178" w:name="_Toc4614601"/>
      <w:r>
        <w:rPr>
          <w:rFonts w:hint="eastAsia" w:ascii="宋体" w:hAnsi="宋体" w:cs="宋体"/>
          <w:i w:val="0"/>
          <w:iCs w:val="0"/>
          <w:color w:val="auto"/>
          <w:kern w:val="0"/>
          <w:sz w:val="24"/>
          <w:highlight w:val="none"/>
          <w:lang w:eastAsia="zh-CN"/>
        </w:rPr>
        <w:t>本项目不收取履约保证金。</w:t>
      </w:r>
    </w:p>
    <w:p w14:paraId="22FFF426">
      <w:pPr>
        <w:spacing w:line="360" w:lineRule="auto"/>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7.7 签订合同</w:t>
      </w:r>
      <w:bookmarkEnd w:id="178"/>
    </w:p>
    <w:p w14:paraId="3572856E">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7.7.1招标人和中标人应当在中标通知书发出之日起30日内，根据</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和中标人的投标文件订立书面合同。中标人无正当理由拒签合同，在签订合同时向招标人提出附加条件，或者不按照</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要求提交履约保证金的，招标人有权取消其中标资格，其投标保证金不予退还；给招标人造成的损失超过投标保证金数额的，中标人还应当对超过部分予以赔偿。</w:t>
      </w:r>
    </w:p>
    <w:p w14:paraId="6F4E46A9">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7.7.2发出中标通知书后，招标人无正当理由拒签合同，或者在签订合同时向中标人提出附加条件的，招标人向中标人退还投标保证金；给中标人造成损失的，还应当赔偿损失。</w:t>
      </w:r>
    </w:p>
    <w:p w14:paraId="0C0333D6">
      <w:pPr>
        <w:bidi w:val="0"/>
        <w:rPr>
          <w:rFonts w:hint="eastAsia" w:ascii="宋体" w:hAnsi="宋体" w:eastAsia="宋体" w:cs="宋体"/>
          <w:b/>
          <w:bCs/>
          <w:sz w:val="28"/>
          <w:szCs w:val="28"/>
        </w:rPr>
      </w:pPr>
      <w:bookmarkStart w:id="179" w:name="_bookmark67"/>
      <w:bookmarkEnd w:id="179"/>
      <w:bookmarkStart w:id="180" w:name="_Toc24381"/>
      <w:bookmarkStart w:id="181" w:name="_Toc30788"/>
      <w:bookmarkStart w:id="182" w:name="_Toc4614602"/>
      <w:r>
        <w:rPr>
          <w:rFonts w:hint="eastAsia" w:ascii="宋体" w:hAnsi="宋体" w:eastAsia="宋体" w:cs="宋体"/>
          <w:b/>
          <w:bCs/>
          <w:sz w:val="28"/>
          <w:szCs w:val="28"/>
        </w:rPr>
        <w:t>8.纪律和监督</w:t>
      </w:r>
      <w:bookmarkEnd w:id="180"/>
      <w:bookmarkEnd w:id="181"/>
      <w:bookmarkEnd w:id="182"/>
    </w:p>
    <w:p w14:paraId="2549C55E">
      <w:pPr>
        <w:spacing w:line="360" w:lineRule="auto"/>
        <w:rPr>
          <w:rFonts w:ascii="宋体" w:hAnsi="宋体" w:cs="宋体"/>
          <w:b/>
          <w:i w:val="0"/>
          <w:iCs w:val="0"/>
          <w:color w:val="auto"/>
          <w:sz w:val="24"/>
          <w:szCs w:val="24"/>
          <w:highlight w:val="none"/>
        </w:rPr>
      </w:pPr>
      <w:bookmarkStart w:id="183" w:name="_bookmark68"/>
      <w:bookmarkEnd w:id="183"/>
      <w:bookmarkStart w:id="184" w:name="_Toc4614603"/>
      <w:r>
        <w:rPr>
          <w:rFonts w:hint="eastAsia" w:ascii="宋体" w:hAnsi="宋体" w:cs="宋体"/>
          <w:b/>
          <w:i w:val="0"/>
          <w:iCs w:val="0"/>
          <w:color w:val="auto"/>
          <w:sz w:val="24"/>
          <w:szCs w:val="24"/>
          <w:highlight w:val="none"/>
        </w:rPr>
        <w:t>8.1 对招标人的纪律要求</w:t>
      </w:r>
      <w:bookmarkEnd w:id="184"/>
    </w:p>
    <w:p w14:paraId="0C4A7CED">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招标人不得泄露招标投标活动中应当保密的情况和资料，不得与投标人串通损害国家利益、社会公共利益或者他人合法权益。</w:t>
      </w:r>
    </w:p>
    <w:p w14:paraId="24615C2C">
      <w:pPr>
        <w:spacing w:line="360" w:lineRule="auto"/>
        <w:rPr>
          <w:rFonts w:ascii="宋体" w:hAnsi="宋体" w:cs="宋体"/>
          <w:b/>
          <w:i w:val="0"/>
          <w:iCs w:val="0"/>
          <w:color w:val="auto"/>
          <w:sz w:val="24"/>
          <w:szCs w:val="24"/>
          <w:highlight w:val="none"/>
        </w:rPr>
      </w:pPr>
      <w:bookmarkStart w:id="185" w:name="_bookmark69"/>
      <w:bookmarkEnd w:id="185"/>
      <w:bookmarkStart w:id="186" w:name="_Toc4614604"/>
      <w:r>
        <w:rPr>
          <w:rFonts w:hint="eastAsia" w:ascii="宋体" w:hAnsi="宋体" w:cs="宋体"/>
          <w:b/>
          <w:i w:val="0"/>
          <w:iCs w:val="0"/>
          <w:color w:val="auto"/>
          <w:sz w:val="24"/>
          <w:szCs w:val="24"/>
          <w:highlight w:val="none"/>
        </w:rPr>
        <w:t>8.2 对投标人的纪律要求</w:t>
      </w:r>
      <w:bookmarkEnd w:id="186"/>
    </w:p>
    <w:p w14:paraId="2592D39E">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D4C51E3">
      <w:pPr>
        <w:spacing w:line="360" w:lineRule="auto"/>
        <w:rPr>
          <w:rFonts w:ascii="宋体" w:hAnsi="宋体" w:cs="宋体"/>
          <w:b/>
          <w:i w:val="0"/>
          <w:iCs w:val="0"/>
          <w:color w:val="auto"/>
          <w:sz w:val="24"/>
          <w:szCs w:val="24"/>
          <w:highlight w:val="none"/>
        </w:rPr>
      </w:pPr>
      <w:bookmarkStart w:id="187" w:name="_bookmark70"/>
      <w:bookmarkEnd w:id="187"/>
      <w:bookmarkStart w:id="188" w:name="_Toc4614605"/>
      <w:r>
        <w:rPr>
          <w:rFonts w:hint="eastAsia" w:ascii="宋体" w:hAnsi="宋体" w:cs="宋体"/>
          <w:b/>
          <w:i w:val="0"/>
          <w:iCs w:val="0"/>
          <w:color w:val="auto"/>
          <w:sz w:val="24"/>
          <w:szCs w:val="24"/>
          <w:highlight w:val="none"/>
        </w:rPr>
        <w:t>8.3对评标委员会成员的纪律要求</w:t>
      </w:r>
      <w:bookmarkEnd w:id="188"/>
    </w:p>
    <w:p w14:paraId="1372D660">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99622B6">
      <w:pPr>
        <w:spacing w:line="360" w:lineRule="auto"/>
        <w:rPr>
          <w:rFonts w:ascii="宋体" w:hAnsi="宋体" w:cs="宋体"/>
          <w:b/>
          <w:i w:val="0"/>
          <w:iCs w:val="0"/>
          <w:color w:val="auto"/>
          <w:sz w:val="24"/>
          <w:szCs w:val="24"/>
          <w:highlight w:val="none"/>
        </w:rPr>
      </w:pPr>
      <w:bookmarkStart w:id="189" w:name="_bookmark71"/>
      <w:bookmarkEnd w:id="189"/>
      <w:bookmarkStart w:id="190" w:name="_Toc4614606"/>
      <w:r>
        <w:rPr>
          <w:rFonts w:hint="eastAsia" w:ascii="宋体" w:hAnsi="宋体" w:cs="宋体"/>
          <w:b/>
          <w:i w:val="0"/>
          <w:iCs w:val="0"/>
          <w:color w:val="auto"/>
          <w:sz w:val="24"/>
          <w:szCs w:val="24"/>
          <w:highlight w:val="none"/>
        </w:rPr>
        <w:t>8.4对与评标活动有关的工作人员的纪律要求</w:t>
      </w:r>
      <w:bookmarkEnd w:id="190"/>
    </w:p>
    <w:p w14:paraId="042682FE">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3F40F2E9">
      <w:pPr>
        <w:spacing w:line="360" w:lineRule="auto"/>
        <w:rPr>
          <w:rFonts w:ascii="宋体" w:hAnsi="宋体" w:cs="宋体"/>
          <w:b/>
          <w:i w:val="0"/>
          <w:iCs w:val="0"/>
          <w:color w:val="auto"/>
          <w:sz w:val="24"/>
          <w:szCs w:val="24"/>
          <w:highlight w:val="none"/>
        </w:rPr>
      </w:pPr>
      <w:bookmarkStart w:id="191" w:name="_bookmark72"/>
      <w:bookmarkEnd w:id="191"/>
      <w:bookmarkStart w:id="192" w:name="_Toc4614607"/>
      <w:r>
        <w:rPr>
          <w:rFonts w:hint="eastAsia" w:ascii="宋体" w:hAnsi="宋体" w:cs="宋体"/>
          <w:b/>
          <w:i w:val="0"/>
          <w:iCs w:val="0"/>
          <w:color w:val="auto"/>
          <w:sz w:val="24"/>
          <w:szCs w:val="24"/>
          <w:highlight w:val="none"/>
        </w:rPr>
        <w:t>8.5 投诉</w:t>
      </w:r>
      <w:bookmarkEnd w:id="192"/>
    </w:p>
    <w:p w14:paraId="69D4D0F3">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8.5.1投标人或者其他利害关系人认为招标投标活动不符合法律、行政法规规定的，可以自知道或者应当知道之日起10日内向</w:t>
      </w:r>
      <w:r>
        <w:rPr>
          <w:rFonts w:hint="eastAsia" w:ascii="宋体" w:hAnsi="宋体" w:cs="宋体"/>
          <w:i w:val="0"/>
          <w:iCs w:val="0"/>
          <w:color w:val="auto"/>
          <w:kern w:val="0"/>
          <w:sz w:val="24"/>
          <w:highlight w:val="none"/>
          <w:lang w:eastAsia="zh-CN"/>
        </w:rPr>
        <w:t>医院相关</w:t>
      </w:r>
      <w:r>
        <w:rPr>
          <w:rFonts w:hint="eastAsia" w:ascii="宋体" w:hAnsi="宋体" w:cs="宋体"/>
          <w:i w:val="0"/>
          <w:iCs w:val="0"/>
          <w:color w:val="auto"/>
          <w:kern w:val="0"/>
          <w:sz w:val="24"/>
          <w:highlight w:val="none"/>
        </w:rPr>
        <w:t>部门投诉。投诉应当有明确的请求和必要的证明材料。</w:t>
      </w:r>
    </w:p>
    <w:p w14:paraId="3CB30395">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8.5.2投标人或者其他利害关系人对</w:t>
      </w:r>
      <w:r>
        <w:rPr>
          <w:rFonts w:hint="eastAsia" w:ascii="宋体" w:hAnsi="宋体" w:cs="宋体"/>
          <w:i w:val="0"/>
          <w:iCs w:val="0"/>
          <w:color w:val="auto"/>
          <w:kern w:val="0"/>
          <w:sz w:val="24"/>
          <w:highlight w:val="none"/>
          <w:lang w:eastAsia="zh-CN"/>
        </w:rPr>
        <w:t>招标文件</w:t>
      </w:r>
      <w:r>
        <w:rPr>
          <w:rFonts w:hint="eastAsia" w:ascii="宋体" w:hAnsi="宋体" w:cs="宋体"/>
          <w:i w:val="0"/>
          <w:iCs w:val="0"/>
          <w:color w:val="auto"/>
          <w:kern w:val="0"/>
          <w:sz w:val="24"/>
          <w:highlight w:val="none"/>
        </w:rPr>
        <w:t>、开标和评标结果提出投诉的，应当按照投标人须知第2.4款、第5.3款和第7.2款的规定先向招标人提出</w:t>
      </w:r>
      <w:r>
        <w:rPr>
          <w:rFonts w:hint="eastAsia" w:ascii="宋体" w:hAnsi="宋体" w:cs="宋体"/>
          <w:i w:val="0"/>
          <w:iCs w:val="0"/>
          <w:color w:val="auto"/>
          <w:kern w:val="0"/>
          <w:sz w:val="24"/>
          <w:highlight w:val="none"/>
          <w:lang w:eastAsia="zh-CN"/>
        </w:rPr>
        <w:t>质疑</w:t>
      </w:r>
      <w:r>
        <w:rPr>
          <w:rFonts w:hint="eastAsia" w:ascii="宋体" w:hAnsi="宋体" w:cs="宋体"/>
          <w:i w:val="0"/>
          <w:iCs w:val="0"/>
          <w:color w:val="auto"/>
          <w:kern w:val="0"/>
          <w:sz w:val="24"/>
          <w:highlight w:val="none"/>
        </w:rPr>
        <w:t>。</w:t>
      </w:r>
      <w:r>
        <w:rPr>
          <w:rFonts w:hint="eastAsia" w:ascii="宋体" w:hAnsi="宋体" w:cs="宋体"/>
          <w:i w:val="0"/>
          <w:iCs w:val="0"/>
          <w:color w:val="auto"/>
          <w:kern w:val="0"/>
          <w:sz w:val="24"/>
          <w:highlight w:val="none"/>
          <w:lang w:eastAsia="zh-CN"/>
        </w:rPr>
        <w:t>质疑</w:t>
      </w:r>
      <w:r>
        <w:rPr>
          <w:rFonts w:hint="eastAsia" w:ascii="宋体" w:hAnsi="宋体" w:cs="宋体"/>
          <w:i w:val="0"/>
          <w:iCs w:val="0"/>
          <w:color w:val="auto"/>
          <w:kern w:val="0"/>
          <w:sz w:val="24"/>
          <w:highlight w:val="none"/>
        </w:rPr>
        <w:t>答复期间不计算在第8.5.1项规定的期限内。</w:t>
      </w:r>
    </w:p>
    <w:p w14:paraId="37AACA49">
      <w:pPr>
        <w:bidi w:val="0"/>
        <w:rPr>
          <w:rFonts w:hint="eastAsia" w:ascii="宋体" w:hAnsi="宋体" w:eastAsia="宋体" w:cs="宋体"/>
          <w:b/>
          <w:bCs/>
          <w:sz w:val="28"/>
          <w:szCs w:val="28"/>
        </w:rPr>
      </w:pPr>
      <w:bookmarkStart w:id="193" w:name="_bookmark74"/>
      <w:bookmarkEnd w:id="193"/>
      <w:bookmarkStart w:id="194" w:name="_bookmark73"/>
      <w:bookmarkEnd w:id="194"/>
      <w:bookmarkStart w:id="195" w:name="_Toc21296"/>
      <w:bookmarkStart w:id="196" w:name="_Toc4614608"/>
      <w:bookmarkStart w:id="197" w:name="_Toc7494"/>
      <w:r>
        <w:rPr>
          <w:rFonts w:hint="eastAsia" w:ascii="宋体" w:hAnsi="宋体" w:eastAsia="宋体" w:cs="宋体"/>
          <w:b/>
          <w:bCs/>
          <w:sz w:val="28"/>
          <w:szCs w:val="28"/>
        </w:rPr>
        <w:t>9.需要补充的其他内容</w:t>
      </w:r>
      <w:bookmarkEnd w:id="195"/>
      <w:bookmarkEnd w:id="196"/>
      <w:bookmarkEnd w:id="197"/>
    </w:p>
    <w:p w14:paraId="66D0D221">
      <w:pPr>
        <w:pStyle w:val="12"/>
        <w:ind w:firstLine="480" w:firstLineChars="200"/>
        <w:rPr>
          <w:rFonts w:ascii="宋体" w:hAnsi="宋体" w:cs="宋体"/>
          <w:b w:val="0"/>
          <w:i w:val="0"/>
          <w:iCs w:val="0"/>
          <w:color w:val="auto"/>
          <w:highlight w:val="none"/>
        </w:rPr>
      </w:pPr>
      <w:r>
        <w:rPr>
          <w:rFonts w:hint="eastAsia" w:ascii="宋体" w:hAnsi="宋体" w:cs="宋体"/>
          <w:i w:val="0"/>
          <w:iCs w:val="0"/>
          <w:color w:val="auto"/>
          <w:kern w:val="0"/>
          <w:sz w:val="24"/>
          <w:highlight w:val="none"/>
        </w:rPr>
        <w:t>需要补充的其他内容：见投标人须知前附表。</w:t>
      </w:r>
      <w:r>
        <w:rPr>
          <w:rFonts w:hint="eastAsia" w:ascii="宋体" w:hAnsi="宋体" w:cs="宋体"/>
          <w:i w:val="0"/>
          <w:iCs w:val="0"/>
          <w:color w:val="auto"/>
          <w:highlight w:val="none"/>
        </w:rPr>
        <w:br w:type="page"/>
      </w:r>
      <w:bookmarkStart w:id="198" w:name="_Toc30379"/>
      <w:bookmarkStart w:id="199" w:name="_Toc248"/>
      <w:bookmarkStart w:id="200" w:name="_Toc6484898"/>
      <w:bookmarkStart w:id="201" w:name="_Toc28285"/>
      <w:bookmarkStart w:id="202" w:name="_Toc28853"/>
      <w:bookmarkStart w:id="203" w:name="_Toc6421866"/>
      <w:bookmarkStart w:id="204" w:name="_Toc6221718"/>
      <w:bookmarkStart w:id="205" w:name="_Toc4501"/>
      <w:bookmarkStart w:id="206" w:name="_Toc9853"/>
      <w:bookmarkStart w:id="207" w:name="_Toc32353"/>
      <w:r>
        <w:rPr>
          <w:rFonts w:hint="eastAsia" w:ascii="宋体" w:hAnsi="宋体" w:cs="宋体"/>
          <w:i w:val="0"/>
          <w:iCs w:val="0"/>
          <w:color w:val="auto"/>
          <w:highlight w:val="none"/>
        </w:rPr>
        <w:t>附件一：问题澄清通知</w:t>
      </w:r>
      <w:bookmarkEnd w:id="198"/>
      <w:bookmarkEnd w:id="199"/>
      <w:bookmarkEnd w:id="200"/>
      <w:bookmarkEnd w:id="201"/>
      <w:bookmarkEnd w:id="202"/>
      <w:bookmarkEnd w:id="203"/>
      <w:bookmarkEnd w:id="204"/>
      <w:bookmarkEnd w:id="205"/>
      <w:bookmarkEnd w:id="206"/>
      <w:bookmarkEnd w:id="207"/>
    </w:p>
    <w:p w14:paraId="5F2ED32D">
      <w:pPr>
        <w:pStyle w:val="12"/>
        <w:rPr>
          <w:rFonts w:ascii="宋体" w:hAnsi="宋体" w:cs="宋体"/>
          <w:b/>
          <w:i w:val="0"/>
          <w:iCs w:val="0"/>
          <w:color w:val="auto"/>
          <w:sz w:val="20"/>
          <w:highlight w:val="none"/>
        </w:rPr>
      </w:pPr>
    </w:p>
    <w:p w14:paraId="5E69B9BC">
      <w:pPr>
        <w:spacing w:line="360" w:lineRule="auto"/>
        <w:ind w:right="13"/>
        <w:jc w:val="center"/>
        <w:rPr>
          <w:rFonts w:ascii="宋体" w:hAnsi="宋体" w:cs="宋体"/>
          <w:b/>
          <w:i w:val="0"/>
          <w:iCs w:val="0"/>
          <w:color w:val="auto"/>
          <w:sz w:val="28"/>
          <w:highlight w:val="none"/>
        </w:rPr>
      </w:pPr>
      <w:r>
        <w:rPr>
          <w:rFonts w:hint="eastAsia" w:ascii="宋体" w:hAnsi="宋体" w:cs="宋体"/>
          <w:b/>
          <w:i w:val="0"/>
          <w:iCs w:val="0"/>
          <w:color w:val="auto"/>
          <w:sz w:val="28"/>
          <w:highlight w:val="none"/>
        </w:rPr>
        <w:t>问题澄清通知</w:t>
      </w:r>
    </w:p>
    <w:p w14:paraId="3FFD1808">
      <w:pPr>
        <w:pStyle w:val="12"/>
        <w:tabs>
          <w:tab w:val="left" w:pos="2937"/>
        </w:tabs>
        <w:ind w:right="20"/>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（编号：</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w:t>
      </w:r>
    </w:p>
    <w:p w14:paraId="5D3CD553">
      <w:pPr>
        <w:pStyle w:val="12"/>
        <w:rPr>
          <w:rFonts w:ascii="宋体" w:hAnsi="宋体" w:cs="宋体"/>
          <w:i w:val="0"/>
          <w:iCs w:val="0"/>
          <w:color w:val="auto"/>
          <w:sz w:val="24"/>
          <w:highlight w:val="none"/>
        </w:rPr>
      </w:pPr>
    </w:p>
    <w:p w14:paraId="13F81046">
      <w:pPr>
        <w:pStyle w:val="12"/>
        <w:tabs>
          <w:tab w:val="left" w:pos="2305"/>
        </w:tabs>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投标</w:t>
      </w:r>
      <w:r>
        <w:rPr>
          <w:rFonts w:hint="eastAsia" w:ascii="宋体" w:hAnsi="宋体" w:cs="宋体"/>
          <w:i w:val="0"/>
          <w:iCs w:val="0"/>
          <w:color w:val="auto"/>
          <w:spacing w:val="-3"/>
          <w:sz w:val="24"/>
          <w:highlight w:val="none"/>
        </w:rPr>
        <w:t>人</w:t>
      </w:r>
      <w:r>
        <w:rPr>
          <w:rFonts w:hint="eastAsia" w:ascii="宋体" w:hAnsi="宋体" w:cs="宋体"/>
          <w:i w:val="0"/>
          <w:iCs w:val="0"/>
          <w:color w:val="auto"/>
          <w:sz w:val="24"/>
          <w:highlight w:val="none"/>
        </w:rPr>
        <w:t>名</w:t>
      </w:r>
      <w:r>
        <w:rPr>
          <w:rFonts w:hint="eastAsia" w:ascii="宋体" w:hAnsi="宋体" w:cs="宋体"/>
          <w:i w:val="0"/>
          <w:iCs w:val="0"/>
          <w:color w:val="auto"/>
          <w:spacing w:val="-3"/>
          <w:sz w:val="24"/>
          <w:highlight w:val="none"/>
        </w:rPr>
        <w:t>称）：</w:t>
      </w:r>
    </w:p>
    <w:p w14:paraId="3D9498F9">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评标委员会对你方的投标文件进行了仔细的审查，现需你方对下列问题以书面形式予以澄清、说明或补正：</w:t>
      </w:r>
    </w:p>
    <w:p w14:paraId="6B1A43EF">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1.</w:t>
      </w:r>
    </w:p>
    <w:p w14:paraId="225195BF">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2.</w:t>
      </w:r>
    </w:p>
    <w:p w14:paraId="760C1677">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w:t>
      </w:r>
    </w:p>
    <w:p w14:paraId="10E8265C">
      <w:pPr>
        <w:pStyle w:val="12"/>
        <w:ind w:left="628" w:right="102"/>
        <w:rPr>
          <w:rFonts w:ascii="宋体" w:hAnsi="宋体" w:cs="宋体"/>
          <w:i w:val="0"/>
          <w:iCs w:val="0"/>
          <w:color w:val="auto"/>
          <w:sz w:val="24"/>
          <w:highlight w:val="none"/>
        </w:rPr>
      </w:pPr>
    </w:p>
    <w:p w14:paraId="0319DAEA">
      <w:pPr>
        <w:pStyle w:val="12"/>
        <w:rPr>
          <w:rFonts w:ascii="宋体" w:hAnsi="宋体" w:cs="宋体"/>
          <w:i w:val="0"/>
          <w:iCs w:val="0"/>
          <w:color w:val="auto"/>
          <w:sz w:val="24"/>
          <w:highlight w:val="none"/>
        </w:rPr>
      </w:pPr>
    </w:p>
    <w:p w14:paraId="1CBE715F">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请将上述问题的澄清、说明或补正于</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日</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时前递交至</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pacing w:val="-3"/>
          <w:sz w:val="24"/>
          <w:highlight w:val="none"/>
          <w:u w:val="single"/>
        </w:rPr>
        <w:t xml:space="preserve">   </w:t>
      </w:r>
      <w:r>
        <w:rPr>
          <w:rFonts w:hint="eastAsia" w:ascii="宋体" w:hAnsi="宋体" w:cs="宋体"/>
          <w:i w:val="0"/>
          <w:iCs w:val="0"/>
          <w:color w:val="auto"/>
          <w:spacing w:val="-5"/>
          <w:sz w:val="24"/>
          <w:highlight w:val="none"/>
        </w:rPr>
        <w:t>（详细地址）或邮件发送至</w:t>
      </w:r>
      <w:r>
        <w:rPr>
          <w:rFonts w:hint="eastAsia" w:ascii="宋体" w:hAnsi="宋体" w:cs="宋体"/>
          <w:i w:val="0"/>
          <w:iCs w:val="0"/>
          <w:color w:val="auto"/>
          <w:spacing w:val="-5"/>
          <w:sz w:val="24"/>
          <w:highlight w:val="none"/>
          <w:u w:val="single"/>
        </w:rPr>
        <w:tab/>
      </w:r>
      <w:r>
        <w:rPr>
          <w:rFonts w:hint="eastAsia" w:ascii="宋体" w:hAnsi="宋体" w:cs="宋体"/>
          <w:i w:val="0"/>
          <w:iCs w:val="0"/>
          <w:color w:val="auto"/>
          <w:spacing w:val="-5"/>
          <w:sz w:val="24"/>
          <w:highlight w:val="none"/>
          <w:u w:val="single"/>
        </w:rPr>
        <w:t xml:space="preserve">   </w:t>
      </w:r>
      <w:r>
        <w:rPr>
          <w:rFonts w:hint="eastAsia" w:ascii="宋体" w:hAnsi="宋体" w:cs="宋体"/>
          <w:i w:val="0"/>
          <w:iCs w:val="0"/>
          <w:color w:val="auto"/>
          <w:spacing w:val="-5"/>
          <w:sz w:val="24"/>
          <w:highlight w:val="none"/>
        </w:rPr>
        <w:t>（邮箱号码）</w:t>
      </w:r>
      <w:r>
        <w:rPr>
          <w:rFonts w:hint="eastAsia" w:ascii="宋体" w:hAnsi="宋体" w:cs="宋体"/>
          <w:i w:val="0"/>
          <w:iCs w:val="0"/>
          <w:color w:val="auto"/>
          <w:sz w:val="24"/>
          <w:highlight w:val="none"/>
        </w:rPr>
        <w:t>。采用邮件发送方式的，应在</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w:t>
      </w: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时</w:t>
      </w:r>
      <w:r>
        <w:rPr>
          <w:rFonts w:hint="eastAsia" w:ascii="宋体" w:hAnsi="宋体" w:cs="宋体"/>
          <w:i w:val="0"/>
          <w:iCs w:val="0"/>
          <w:color w:val="auto"/>
          <w:sz w:val="24"/>
          <w:highlight w:val="none"/>
        </w:rPr>
        <w:t>前</w:t>
      </w:r>
      <w:r>
        <w:rPr>
          <w:rFonts w:hint="eastAsia" w:ascii="宋体" w:hAnsi="宋体" w:cs="宋体"/>
          <w:i w:val="0"/>
          <w:iCs w:val="0"/>
          <w:color w:val="auto"/>
          <w:spacing w:val="-3"/>
          <w:sz w:val="24"/>
          <w:highlight w:val="none"/>
        </w:rPr>
        <w:t>将</w:t>
      </w:r>
      <w:r>
        <w:rPr>
          <w:rFonts w:hint="eastAsia" w:ascii="宋体" w:hAnsi="宋体" w:cs="宋体"/>
          <w:i w:val="0"/>
          <w:iCs w:val="0"/>
          <w:color w:val="auto"/>
          <w:sz w:val="24"/>
          <w:highlight w:val="none"/>
        </w:rPr>
        <w:t>原件</w:t>
      </w:r>
      <w:r>
        <w:rPr>
          <w:rFonts w:hint="eastAsia" w:ascii="宋体" w:hAnsi="宋体" w:cs="宋体"/>
          <w:i w:val="0"/>
          <w:iCs w:val="0"/>
          <w:color w:val="auto"/>
          <w:spacing w:val="-3"/>
          <w:sz w:val="24"/>
          <w:highlight w:val="none"/>
        </w:rPr>
        <w:t>递</w:t>
      </w:r>
      <w:r>
        <w:rPr>
          <w:rFonts w:hint="eastAsia" w:ascii="宋体" w:hAnsi="宋体" w:cs="宋体"/>
          <w:i w:val="0"/>
          <w:iCs w:val="0"/>
          <w:color w:val="auto"/>
          <w:sz w:val="24"/>
          <w:highlight w:val="none"/>
        </w:rPr>
        <w:t>交</w:t>
      </w:r>
      <w:r>
        <w:rPr>
          <w:rFonts w:hint="eastAsia" w:ascii="宋体" w:hAnsi="宋体" w:cs="宋体"/>
          <w:i w:val="0"/>
          <w:iCs w:val="0"/>
          <w:color w:val="auto"/>
          <w:spacing w:val="-3"/>
          <w:sz w:val="24"/>
          <w:highlight w:val="none"/>
        </w:rPr>
        <w:t>至</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详</w:t>
      </w:r>
      <w:r>
        <w:rPr>
          <w:rFonts w:hint="eastAsia" w:ascii="宋体" w:hAnsi="宋体" w:cs="宋体"/>
          <w:i w:val="0"/>
          <w:iCs w:val="0"/>
          <w:color w:val="auto"/>
          <w:spacing w:val="-3"/>
          <w:sz w:val="24"/>
          <w:highlight w:val="none"/>
        </w:rPr>
        <w:t>细</w:t>
      </w:r>
      <w:r>
        <w:rPr>
          <w:rFonts w:hint="eastAsia" w:ascii="宋体" w:hAnsi="宋体" w:cs="宋体"/>
          <w:i w:val="0"/>
          <w:iCs w:val="0"/>
          <w:color w:val="auto"/>
          <w:sz w:val="24"/>
          <w:highlight w:val="none"/>
        </w:rPr>
        <w:t>地</w:t>
      </w:r>
      <w:r>
        <w:rPr>
          <w:rFonts w:hint="eastAsia" w:ascii="宋体" w:hAnsi="宋体" w:cs="宋体"/>
          <w:i w:val="0"/>
          <w:iCs w:val="0"/>
          <w:color w:val="auto"/>
          <w:spacing w:val="-3"/>
          <w:sz w:val="24"/>
          <w:highlight w:val="none"/>
        </w:rPr>
        <w:t>址）。</w:t>
      </w:r>
    </w:p>
    <w:p w14:paraId="696C4281">
      <w:pPr>
        <w:pStyle w:val="12"/>
        <w:rPr>
          <w:rFonts w:ascii="宋体" w:hAnsi="宋体" w:cs="宋体"/>
          <w:i w:val="0"/>
          <w:iCs w:val="0"/>
          <w:color w:val="auto"/>
          <w:sz w:val="24"/>
          <w:highlight w:val="none"/>
        </w:rPr>
      </w:pPr>
    </w:p>
    <w:p w14:paraId="09B5CE31">
      <w:pPr>
        <w:pStyle w:val="12"/>
        <w:rPr>
          <w:rFonts w:ascii="宋体" w:hAnsi="宋体" w:cs="宋体"/>
          <w:i w:val="0"/>
          <w:iCs w:val="0"/>
          <w:color w:val="auto"/>
          <w:sz w:val="24"/>
          <w:highlight w:val="none"/>
        </w:rPr>
      </w:pPr>
    </w:p>
    <w:p w14:paraId="1DDE39BD">
      <w:pPr>
        <w:pStyle w:val="12"/>
        <w:jc w:val="right"/>
        <w:rPr>
          <w:rFonts w:ascii="宋体" w:hAnsi="宋体" w:cs="宋体"/>
          <w:i w:val="0"/>
          <w:iCs w:val="0"/>
          <w:color w:val="auto"/>
          <w:sz w:val="24"/>
          <w:highlight w:val="none"/>
        </w:rPr>
      </w:pPr>
    </w:p>
    <w:p w14:paraId="3613BAAB">
      <w:pPr>
        <w:pStyle w:val="12"/>
        <w:tabs>
          <w:tab w:val="left" w:pos="7032"/>
        </w:tabs>
        <w:wordWrap w:val="0"/>
        <w:ind w:left="2200"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（签字）</w:t>
      </w:r>
    </w:p>
    <w:p w14:paraId="57D6FA7F">
      <w:pPr>
        <w:pStyle w:val="12"/>
        <w:jc w:val="right"/>
        <w:rPr>
          <w:rFonts w:ascii="宋体" w:hAnsi="宋体" w:cs="宋体"/>
          <w:i w:val="0"/>
          <w:iCs w:val="0"/>
          <w:color w:val="auto"/>
          <w:sz w:val="24"/>
          <w:highlight w:val="none"/>
        </w:rPr>
      </w:pPr>
    </w:p>
    <w:p w14:paraId="7AFCAA8D">
      <w:pPr>
        <w:pStyle w:val="12"/>
        <w:jc w:val="right"/>
        <w:rPr>
          <w:rFonts w:ascii="宋体" w:hAnsi="宋体" w:cs="宋体"/>
          <w:i w:val="0"/>
          <w:iCs w:val="0"/>
          <w:color w:val="auto"/>
          <w:sz w:val="24"/>
          <w:highlight w:val="none"/>
        </w:rPr>
      </w:pPr>
    </w:p>
    <w:p w14:paraId="5B4ED78D">
      <w:pPr>
        <w:pStyle w:val="12"/>
        <w:tabs>
          <w:tab w:val="left" w:pos="5803"/>
          <w:tab w:val="left" w:pos="6746"/>
          <w:tab w:val="left" w:pos="7692"/>
        </w:tabs>
        <w:ind w:left="4961"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26CF5F26">
      <w:pPr>
        <w:jc w:val="right"/>
        <w:rPr>
          <w:rFonts w:ascii="宋体" w:hAnsi="宋体" w:cs="宋体"/>
          <w:i w:val="0"/>
          <w:iCs w:val="0"/>
          <w:color w:val="auto"/>
          <w:highlight w:val="none"/>
        </w:rPr>
        <w:sectPr>
          <w:headerReference r:id="rId10" w:type="first"/>
          <w:footerReference r:id="rId12" w:type="first"/>
          <w:footerReference r:id="rId11" w:type="default"/>
          <w:pgSz w:w="12240" w:h="15840"/>
          <w:pgMar w:top="1304" w:right="1304" w:bottom="1304" w:left="1304" w:header="737" w:footer="737" w:gutter="0"/>
          <w:pgNumType w:fmt="decimal" w:start="1"/>
          <w:cols w:space="720" w:num="1"/>
          <w:titlePg/>
          <w:docGrid w:linePitch="299" w:charSpace="0"/>
        </w:sectPr>
      </w:pPr>
    </w:p>
    <w:p w14:paraId="1A7512A9">
      <w:pPr>
        <w:bidi w:val="0"/>
        <w:rPr>
          <w:rFonts w:hint="eastAsia"/>
          <w:lang w:val="en-US" w:eastAsia="zh-CN"/>
        </w:rPr>
      </w:pPr>
      <w:bookmarkStart w:id="208" w:name="_bookmark77"/>
      <w:bookmarkEnd w:id="208"/>
      <w:bookmarkStart w:id="209" w:name="_Toc6421867"/>
      <w:bookmarkStart w:id="210" w:name="_Toc6221719"/>
      <w:bookmarkStart w:id="211" w:name="_Toc11935"/>
      <w:bookmarkStart w:id="212" w:name="_Toc7545"/>
      <w:bookmarkStart w:id="213" w:name="_Toc13976"/>
      <w:bookmarkStart w:id="214" w:name="_Toc19321"/>
      <w:bookmarkStart w:id="215" w:name="_Toc6484899"/>
      <w:bookmarkStart w:id="216" w:name="_Toc18006"/>
      <w:bookmarkStart w:id="217" w:name="_Toc9346"/>
      <w:bookmarkStart w:id="218" w:name="_Toc19779"/>
      <w:r>
        <w:rPr>
          <w:rFonts w:hint="eastAsia"/>
          <w:lang w:val="en-US" w:eastAsia="zh-CN"/>
        </w:rPr>
        <w:t>附件二：问题的澄清</w:t>
      </w:r>
      <w:bookmarkEnd w:id="209"/>
      <w:bookmarkEnd w:id="210"/>
      <w:bookmarkEnd w:id="211"/>
      <w:bookmarkEnd w:id="212"/>
      <w:bookmarkEnd w:id="213"/>
      <w:bookmarkEnd w:id="214"/>
      <w:bookmarkEnd w:id="215"/>
      <w:bookmarkEnd w:id="216"/>
      <w:bookmarkEnd w:id="217"/>
      <w:bookmarkEnd w:id="218"/>
    </w:p>
    <w:p w14:paraId="47FA24B8">
      <w:pPr>
        <w:pStyle w:val="12"/>
        <w:rPr>
          <w:rFonts w:ascii="宋体" w:hAnsi="宋体" w:cs="宋体"/>
          <w:b/>
          <w:i w:val="0"/>
          <w:iCs w:val="0"/>
          <w:color w:val="auto"/>
          <w:sz w:val="20"/>
          <w:highlight w:val="none"/>
        </w:rPr>
      </w:pPr>
    </w:p>
    <w:p w14:paraId="1E5F858A">
      <w:pPr>
        <w:pStyle w:val="12"/>
        <w:rPr>
          <w:rFonts w:ascii="宋体" w:hAnsi="宋体" w:cs="宋体"/>
          <w:b/>
          <w:i w:val="0"/>
          <w:iCs w:val="0"/>
          <w:color w:val="auto"/>
          <w:sz w:val="20"/>
          <w:highlight w:val="none"/>
        </w:rPr>
      </w:pPr>
    </w:p>
    <w:p w14:paraId="69C53BB9">
      <w:pPr>
        <w:pStyle w:val="12"/>
        <w:rPr>
          <w:rFonts w:ascii="宋体" w:hAnsi="宋体" w:cs="宋体"/>
          <w:b/>
          <w:i w:val="0"/>
          <w:iCs w:val="0"/>
          <w:color w:val="auto"/>
          <w:sz w:val="20"/>
          <w:highlight w:val="none"/>
        </w:rPr>
      </w:pPr>
    </w:p>
    <w:p w14:paraId="66664216">
      <w:pPr>
        <w:spacing w:line="360" w:lineRule="auto"/>
        <w:ind w:right="16"/>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问题的澄清</w:t>
      </w:r>
    </w:p>
    <w:p w14:paraId="568E2FC1">
      <w:pPr>
        <w:pStyle w:val="12"/>
        <w:tabs>
          <w:tab w:val="left" w:pos="5947"/>
        </w:tabs>
        <w:ind w:left="3566" w:right="102"/>
        <w:rPr>
          <w:rFonts w:ascii="宋体" w:hAnsi="宋体" w:cs="宋体"/>
          <w:i w:val="0"/>
          <w:iCs w:val="0"/>
          <w:color w:val="auto"/>
          <w:sz w:val="24"/>
          <w:highlight w:val="none"/>
        </w:rPr>
      </w:pPr>
      <w:r>
        <w:rPr>
          <w:rFonts w:hint="eastAsia" w:ascii="宋体" w:hAnsi="宋体" w:cs="宋体"/>
          <w:i w:val="0"/>
          <w:iCs w:val="0"/>
          <w:color w:val="auto"/>
          <w:sz w:val="24"/>
          <w:highlight w:val="none"/>
        </w:rPr>
        <w:t>（编号：</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w:t>
      </w:r>
    </w:p>
    <w:p w14:paraId="49F7951B">
      <w:pPr>
        <w:pStyle w:val="12"/>
        <w:rPr>
          <w:rFonts w:ascii="宋体" w:hAnsi="宋体" w:cs="宋体"/>
          <w:i w:val="0"/>
          <w:iCs w:val="0"/>
          <w:color w:val="auto"/>
          <w:sz w:val="24"/>
          <w:highlight w:val="none"/>
        </w:rPr>
      </w:pPr>
    </w:p>
    <w:p w14:paraId="3B3EB37F">
      <w:pPr>
        <w:pStyle w:val="12"/>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rPr>
        <w:t>评标委员会：</w:t>
      </w:r>
    </w:p>
    <w:p w14:paraId="5A5B4132">
      <w:pPr>
        <w:pStyle w:val="12"/>
        <w:rPr>
          <w:rFonts w:ascii="宋体" w:hAnsi="宋体" w:cs="宋体"/>
          <w:i w:val="0"/>
          <w:iCs w:val="0"/>
          <w:color w:val="auto"/>
          <w:sz w:val="24"/>
          <w:highlight w:val="none"/>
        </w:rPr>
      </w:pPr>
    </w:p>
    <w:p w14:paraId="3999E6CD">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问题澄清通知（编号：</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）已收悉，现澄清、说明或补正如下：</w:t>
      </w:r>
    </w:p>
    <w:p w14:paraId="01B54733">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1.</w:t>
      </w:r>
    </w:p>
    <w:p w14:paraId="727981A5">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2.</w:t>
      </w:r>
    </w:p>
    <w:p w14:paraId="5D42B036">
      <w:pPr>
        <w:pStyle w:val="12"/>
        <w:widowControl w:val="0"/>
        <w:spacing w:line="480" w:lineRule="auto"/>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w:t>
      </w:r>
    </w:p>
    <w:p w14:paraId="112ACE80">
      <w:pPr>
        <w:pStyle w:val="12"/>
        <w:rPr>
          <w:rFonts w:ascii="宋体" w:hAnsi="宋体" w:cs="宋体"/>
          <w:i w:val="0"/>
          <w:iCs w:val="0"/>
          <w:color w:val="auto"/>
          <w:sz w:val="24"/>
          <w:highlight w:val="none"/>
        </w:rPr>
      </w:pPr>
    </w:p>
    <w:p w14:paraId="22D5D7AE">
      <w:pPr>
        <w:pStyle w:val="12"/>
        <w:rPr>
          <w:rFonts w:ascii="宋体" w:hAnsi="宋体" w:cs="宋体"/>
          <w:i w:val="0"/>
          <w:iCs w:val="0"/>
          <w:color w:val="auto"/>
          <w:sz w:val="24"/>
          <w:highlight w:val="none"/>
        </w:rPr>
      </w:pPr>
    </w:p>
    <w:p w14:paraId="0A6C8945">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上述问题澄清、说明或补正，不改变我方投标文件的实质性内容，构成我方投标文件的组成部分。</w:t>
      </w:r>
    </w:p>
    <w:p w14:paraId="18878289">
      <w:pPr>
        <w:pStyle w:val="12"/>
        <w:rPr>
          <w:rFonts w:ascii="宋体" w:hAnsi="宋体" w:cs="宋体"/>
          <w:i w:val="0"/>
          <w:iCs w:val="0"/>
          <w:color w:val="auto"/>
          <w:sz w:val="24"/>
          <w:highlight w:val="none"/>
        </w:rPr>
      </w:pPr>
    </w:p>
    <w:p w14:paraId="5D8660C7">
      <w:pPr>
        <w:pStyle w:val="12"/>
        <w:rPr>
          <w:rFonts w:ascii="宋体" w:hAnsi="宋体" w:cs="宋体"/>
          <w:i w:val="0"/>
          <w:iCs w:val="0"/>
          <w:color w:val="auto"/>
          <w:sz w:val="24"/>
          <w:highlight w:val="none"/>
        </w:rPr>
      </w:pPr>
    </w:p>
    <w:p w14:paraId="34DD347F">
      <w:pPr>
        <w:pStyle w:val="12"/>
        <w:tabs>
          <w:tab w:val="left" w:pos="7382"/>
        </w:tabs>
        <w:spacing w:line="480" w:lineRule="auto"/>
        <w:ind w:left="3043"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投标人：</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（盖单位章）</w:t>
      </w:r>
    </w:p>
    <w:p w14:paraId="11AB2284">
      <w:pPr>
        <w:pStyle w:val="12"/>
        <w:tabs>
          <w:tab w:val="left" w:pos="7382"/>
        </w:tabs>
        <w:spacing w:line="480" w:lineRule="auto"/>
        <w:ind w:right="102" w:firstLine="1596" w:firstLineChars="700"/>
        <w:jc w:val="both"/>
        <w:rPr>
          <w:rFonts w:ascii="宋体" w:hAnsi="宋体" w:cs="宋体"/>
          <w:i w:val="0"/>
          <w:iCs w:val="0"/>
          <w:color w:val="auto"/>
          <w:sz w:val="24"/>
          <w:highlight w:val="none"/>
        </w:rPr>
      </w:pPr>
      <w:r>
        <w:rPr>
          <w:rFonts w:hint="eastAsia" w:ascii="宋体" w:hAnsi="宋体" w:cs="宋体"/>
          <w:i w:val="0"/>
          <w:iCs w:val="0"/>
          <w:color w:val="auto"/>
          <w:spacing w:val="-6"/>
          <w:sz w:val="24"/>
          <w:highlight w:val="none"/>
        </w:rPr>
        <w:t>法定代表人（单位负责人）或其委托代理人：</w:t>
      </w:r>
      <w:r>
        <w:rPr>
          <w:rFonts w:hint="eastAsia" w:ascii="宋体" w:hAnsi="宋体" w:cs="宋体"/>
          <w:i w:val="0"/>
          <w:iCs w:val="0"/>
          <w:color w:val="auto"/>
          <w:spacing w:val="-6"/>
          <w:sz w:val="24"/>
          <w:highlight w:val="none"/>
          <w:u w:val="single"/>
        </w:rPr>
        <w:t xml:space="preserve">               </w:t>
      </w:r>
      <w:r>
        <w:rPr>
          <w:rFonts w:hint="eastAsia" w:ascii="宋体" w:hAnsi="宋体" w:cs="宋体"/>
          <w:i w:val="0"/>
          <w:iCs w:val="0"/>
          <w:color w:val="auto"/>
          <w:sz w:val="24"/>
          <w:highlight w:val="none"/>
          <w:u w:val="single"/>
        </w:rPr>
        <w:t>（</w:t>
      </w:r>
      <w:r>
        <w:rPr>
          <w:rFonts w:hint="eastAsia" w:ascii="宋体" w:hAnsi="宋体" w:cs="宋体"/>
          <w:i w:val="0"/>
          <w:iCs w:val="0"/>
          <w:color w:val="auto"/>
          <w:sz w:val="24"/>
          <w:highlight w:val="none"/>
        </w:rPr>
        <w:t>签字或盖章）</w:t>
      </w:r>
    </w:p>
    <w:p w14:paraId="09D4D147">
      <w:pPr>
        <w:pStyle w:val="12"/>
        <w:tabs>
          <w:tab w:val="left" w:pos="6434"/>
          <w:tab w:val="left" w:pos="7483"/>
          <w:tab w:val="left" w:pos="8533"/>
        </w:tabs>
        <w:spacing w:line="480" w:lineRule="auto"/>
        <w:ind w:left="5595" w:right="26"/>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5658F335">
      <w:pPr>
        <w:jc w:val="right"/>
        <w:rPr>
          <w:rFonts w:ascii="宋体" w:hAnsi="宋体" w:cs="宋体"/>
          <w:i w:val="0"/>
          <w:iCs w:val="0"/>
          <w:color w:val="auto"/>
          <w:highlight w:val="none"/>
        </w:rPr>
        <w:sectPr>
          <w:headerReference r:id="rId13" w:type="default"/>
          <w:type w:val="nextColumn"/>
          <w:pgSz w:w="11906" w:h="16838"/>
          <w:pgMar w:top="1304" w:right="1304" w:bottom="1304" w:left="1304" w:header="720" w:footer="720" w:gutter="0"/>
          <w:pgNumType w:fmt="decimal"/>
          <w:cols w:space="720" w:num="1"/>
          <w:docGrid w:linePitch="299" w:charSpace="0"/>
        </w:sectPr>
      </w:pPr>
    </w:p>
    <w:p w14:paraId="30A6237C">
      <w:pPr>
        <w:bidi w:val="0"/>
        <w:rPr>
          <w:rFonts w:hint="eastAsia"/>
          <w:lang w:val="en-US" w:eastAsia="zh-CN"/>
        </w:rPr>
      </w:pPr>
      <w:bookmarkStart w:id="219" w:name="_bookmark78"/>
      <w:bookmarkEnd w:id="219"/>
      <w:bookmarkStart w:id="220" w:name="_bookmark80"/>
      <w:bookmarkEnd w:id="220"/>
      <w:bookmarkStart w:id="221" w:name="_Toc23711"/>
      <w:bookmarkStart w:id="222" w:name="_Toc6221722"/>
      <w:bookmarkStart w:id="223" w:name="_Toc29289"/>
      <w:bookmarkStart w:id="224" w:name="_Toc29137"/>
      <w:bookmarkStart w:id="225" w:name="_Toc23079"/>
      <w:bookmarkStart w:id="226" w:name="_Toc6691"/>
      <w:bookmarkStart w:id="227" w:name="_Toc6484900"/>
      <w:bookmarkStart w:id="228" w:name="_Toc6421868"/>
      <w:bookmarkStart w:id="229" w:name="_Toc3043"/>
      <w:bookmarkStart w:id="230" w:name="_Toc1986"/>
      <w:r>
        <w:rPr>
          <w:rFonts w:hint="eastAsia"/>
          <w:lang w:val="en-US" w:eastAsia="zh-CN"/>
        </w:rPr>
        <w:t>附件三：确认通知</w:t>
      </w:r>
      <w:bookmarkEnd w:id="221"/>
      <w:bookmarkEnd w:id="222"/>
      <w:bookmarkEnd w:id="223"/>
      <w:bookmarkEnd w:id="224"/>
      <w:bookmarkEnd w:id="225"/>
      <w:bookmarkEnd w:id="226"/>
      <w:bookmarkEnd w:id="227"/>
      <w:bookmarkEnd w:id="228"/>
      <w:bookmarkEnd w:id="229"/>
      <w:bookmarkEnd w:id="230"/>
    </w:p>
    <w:p w14:paraId="7FCA95AF">
      <w:pPr>
        <w:pStyle w:val="12"/>
        <w:rPr>
          <w:rFonts w:ascii="宋体" w:hAnsi="宋体" w:cs="宋体"/>
          <w:b/>
          <w:i w:val="0"/>
          <w:iCs w:val="0"/>
          <w:color w:val="auto"/>
          <w:sz w:val="20"/>
          <w:highlight w:val="none"/>
        </w:rPr>
      </w:pPr>
    </w:p>
    <w:p w14:paraId="57F2DF2D">
      <w:pPr>
        <w:pStyle w:val="12"/>
        <w:rPr>
          <w:rFonts w:ascii="宋体" w:hAnsi="宋体" w:cs="宋体"/>
          <w:b/>
          <w:i w:val="0"/>
          <w:iCs w:val="0"/>
          <w:color w:val="auto"/>
          <w:sz w:val="20"/>
          <w:highlight w:val="none"/>
        </w:rPr>
      </w:pPr>
    </w:p>
    <w:p w14:paraId="716121F7">
      <w:pPr>
        <w:ind w:right="17"/>
        <w:jc w:val="center"/>
        <w:rPr>
          <w:rFonts w:ascii="宋体" w:hAnsi="宋体" w:cs="宋体"/>
          <w:b/>
          <w:i w:val="0"/>
          <w:iCs w:val="0"/>
          <w:color w:val="auto"/>
          <w:sz w:val="28"/>
          <w:highlight w:val="none"/>
        </w:rPr>
      </w:pPr>
      <w:r>
        <w:rPr>
          <w:rFonts w:hint="eastAsia" w:ascii="宋体" w:hAnsi="宋体" w:cs="宋体"/>
          <w:b/>
          <w:i w:val="0"/>
          <w:iCs w:val="0"/>
          <w:color w:val="auto"/>
          <w:sz w:val="28"/>
          <w:highlight w:val="none"/>
        </w:rPr>
        <w:t>确认通知</w:t>
      </w:r>
    </w:p>
    <w:p w14:paraId="05CAA5BE">
      <w:pPr>
        <w:pStyle w:val="12"/>
        <w:rPr>
          <w:rFonts w:ascii="宋体" w:hAnsi="宋体" w:cs="宋体"/>
          <w:b/>
          <w:i w:val="0"/>
          <w:iCs w:val="0"/>
          <w:color w:val="auto"/>
          <w:sz w:val="41"/>
          <w:highlight w:val="none"/>
        </w:rPr>
      </w:pPr>
    </w:p>
    <w:p w14:paraId="484A3BCD">
      <w:pPr>
        <w:pStyle w:val="12"/>
        <w:tabs>
          <w:tab w:val="left" w:pos="2305"/>
        </w:tabs>
        <w:ind w:left="100" w:right="102"/>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w:t>
      </w:r>
      <w:r>
        <w:rPr>
          <w:rFonts w:hint="eastAsia" w:ascii="宋体" w:hAnsi="宋体" w:cs="宋体"/>
          <w:i w:val="0"/>
          <w:iCs w:val="0"/>
          <w:color w:val="auto"/>
          <w:sz w:val="24"/>
          <w:highlight w:val="none"/>
        </w:rPr>
        <w:t>招标</w:t>
      </w:r>
      <w:r>
        <w:rPr>
          <w:rFonts w:hint="eastAsia" w:ascii="宋体" w:hAnsi="宋体" w:cs="宋体"/>
          <w:i w:val="0"/>
          <w:iCs w:val="0"/>
          <w:color w:val="auto"/>
          <w:spacing w:val="-3"/>
          <w:sz w:val="24"/>
          <w:highlight w:val="none"/>
        </w:rPr>
        <w:t>人</w:t>
      </w:r>
      <w:r>
        <w:rPr>
          <w:rFonts w:hint="eastAsia" w:ascii="宋体" w:hAnsi="宋体" w:cs="宋体"/>
          <w:i w:val="0"/>
          <w:iCs w:val="0"/>
          <w:color w:val="auto"/>
          <w:sz w:val="24"/>
          <w:highlight w:val="none"/>
        </w:rPr>
        <w:t>名</w:t>
      </w:r>
      <w:r>
        <w:rPr>
          <w:rFonts w:hint="eastAsia" w:ascii="宋体" w:hAnsi="宋体" w:cs="宋体"/>
          <w:i w:val="0"/>
          <w:iCs w:val="0"/>
          <w:color w:val="auto"/>
          <w:spacing w:val="-3"/>
          <w:sz w:val="24"/>
          <w:highlight w:val="none"/>
        </w:rPr>
        <w:t>称）：</w:t>
      </w:r>
    </w:p>
    <w:p w14:paraId="2B325F27">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你方于</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日发出的</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（项目名称）关于</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的澄清/修改的通知，我方已于</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日收到。</w:t>
      </w:r>
    </w:p>
    <w:p w14:paraId="009FF7AF">
      <w:pPr>
        <w:pStyle w:val="12"/>
        <w:rPr>
          <w:rFonts w:ascii="宋体" w:hAnsi="宋体" w:cs="宋体"/>
          <w:i w:val="0"/>
          <w:iCs w:val="0"/>
          <w:color w:val="auto"/>
          <w:sz w:val="24"/>
          <w:highlight w:val="none"/>
        </w:rPr>
      </w:pPr>
    </w:p>
    <w:p w14:paraId="389ADB68">
      <w:pPr>
        <w:pStyle w:val="12"/>
        <w:ind w:left="522" w:right="102"/>
        <w:rPr>
          <w:rFonts w:ascii="宋体" w:hAnsi="宋体" w:cs="宋体"/>
          <w:i w:val="0"/>
          <w:iCs w:val="0"/>
          <w:color w:val="auto"/>
          <w:sz w:val="24"/>
          <w:highlight w:val="none"/>
        </w:rPr>
      </w:pPr>
      <w:r>
        <w:rPr>
          <w:rFonts w:hint="eastAsia" w:ascii="宋体" w:hAnsi="宋体" w:cs="宋体"/>
          <w:i w:val="0"/>
          <w:iCs w:val="0"/>
          <w:color w:val="auto"/>
          <w:sz w:val="24"/>
          <w:highlight w:val="none"/>
        </w:rPr>
        <w:t>特此确认。</w:t>
      </w:r>
    </w:p>
    <w:p w14:paraId="1C05525F">
      <w:pPr>
        <w:pStyle w:val="12"/>
        <w:rPr>
          <w:rFonts w:ascii="宋体" w:hAnsi="宋体" w:cs="宋体"/>
          <w:i w:val="0"/>
          <w:iCs w:val="0"/>
          <w:color w:val="auto"/>
          <w:sz w:val="24"/>
          <w:highlight w:val="none"/>
        </w:rPr>
      </w:pPr>
    </w:p>
    <w:p w14:paraId="2CB6CD7E">
      <w:pPr>
        <w:pStyle w:val="12"/>
        <w:rPr>
          <w:rFonts w:ascii="宋体" w:hAnsi="宋体" w:cs="宋体"/>
          <w:i w:val="0"/>
          <w:iCs w:val="0"/>
          <w:color w:val="auto"/>
          <w:sz w:val="24"/>
          <w:highlight w:val="none"/>
        </w:rPr>
      </w:pPr>
    </w:p>
    <w:p w14:paraId="2C0FAC7C">
      <w:pPr>
        <w:pStyle w:val="12"/>
        <w:jc w:val="right"/>
        <w:rPr>
          <w:rFonts w:ascii="宋体" w:hAnsi="宋体" w:cs="宋体"/>
          <w:i w:val="0"/>
          <w:iCs w:val="0"/>
          <w:color w:val="auto"/>
          <w:sz w:val="24"/>
          <w:highlight w:val="none"/>
        </w:rPr>
      </w:pPr>
    </w:p>
    <w:p w14:paraId="10506D9E">
      <w:pPr>
        <w:pStyle w:val="12"/>
        <w:tabs>
          <w:tab w:val="left" w:pos="7382"/>
        </w:tabs>
        <w:spacing w:line="480" w:lineRule="auto"/>
        <w:ind w:left="3043" w:right="102"/>
        <w:jc w:val="right"/>
        <w:rPr>
          <w:rFonts w:ascii="宋体" w:hAnsi="宋体" w:cs="宋体"/>
          <w:i w:val="0"/>
          <w:iCs w:val="0"/>
          <w:color w:val="auto"/>
          <w:sz w:val="24"/>
          <w:highlight w:val="none"/>
        </w:rPr>
      </w:pPr>
      <w:r>
        <w:rPr>
          <w:rFonts w:hint="eastAsia" w:ascii="宋体" w:hAnsi="宋体" w:cs="宋体"/>
          <w:i w:val="0"/>
          <w:iCs w:val="0"/>
          <w:color w:val="auto"/>
          <w:sz w:val="24"/>
          <w:highlight w:val="none"/>
        </w:rPr>
        <w:t>投标人：</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（盖单位章）</w:t>
      </w:r>
    </w:p>
    <w:p w14:paraId="2FFF831F">
      <w:pPr>
        <w:pStyle w:val="12"/>
        <w:tabs>
          <w:tab w:val="left" w:pos="7382"/>
        </w:tabs>
        <w:spacing w:line="480" w:lineRule="auto"/>
        <w:ind w:right="102" w:firstLine="1596" w:firstLineChars="700"/>
        <w:jc w:val="both"/>
        <w:rPr>
          <w:rFonts w:ascii="宋体" w:hAnsi="宋体" w:cs="宋体"/>
          <w:i w:val="0"/>
          <w:iCs w:val="0"/>
          <w:color w:val="auto"/>
          <w:sz w:val="24"/>
          <w:highlight w:val="none"/>
        </w:rPr>
      </w:pPr>
      <w:r>
        <w:rPr>
          <w:rFonts w:hint="eastAsia" w:ascii="宋体" w:hAnsi="宋体" w:cs="宋体"/>
          <w:i w:val="0"/>
          <w:iCs w:val="0"/>
          <w:color w:val="auto"/>
          <w:spacing w:val="-6"/>
          <w:sz w:val="24"/>
          <w:highlight w:val="none"/>
        </w:rPr>
        <w:t>法定代表人（单位负责人）或其委托代理人：</w:t>
      </w:r>
      <w:r>
        <w:rPr>
          <w:rFonts w:hint="eastAsia" w:ascii="宋体" w:hAnsi="宋体" w:cs="宋体"/>
          <w:i w:val="0"/>
          <w:iCs w:val="0"/>
          <w:color w:val="auto"/>
          <w:spacing w:val="-6"/>
          <w:sz w:val="24"/>
          <w:highlight w:val="none"/>
          <w:u w:val="single"/>
        </w:rPr>
        <w:t xml:space="preserve">               </w:t>
      </w:r>
      <w:r>
        <w:rPr>
          <w:rFonts w:hint="eastAsia" w:ascii="宋体" w:hAnsi="宋体" w:cs="宋体"/>
          <w:i w:val="0"/>
          <w:iCs w:val="0"/>
          <w:color w:val="auto"/>
          <w:sz w:val="24"/>
          <w:highlight w:val="none"/>
          <w:u w:val="single"/>
        </w:rPr>
        <w:t>（</w:t>
      </w:r>
      <w:r>
        <w:rPr>
          <w:rFonts w:hint="eastAsia" w:ascii="宋体" w:hAnsi="宋体" w:cs="宋体"/>
          <w:i w:val="0"/>
          <w:iCs w:val="0"/>
          <w:color w:val="auto"/>
          <w:sz w:val="24"/>
          <w:highlight w:val="none"/>
        </w:rPr>
        <w:t>签字或盖章）</w:t>
      </w:r>
    </w:p>
    <w:p w14:paraId="58DB43B8">
      <w:pPr>
        <w:pStyle w:val="12"/>
        <w:tabs>
          <w:tab w:val="left" w:pos="6434"/>
          <w:tab w:val="left" w:pos="7483"/>
          <w:tab w:val="left" w:pos="8533"/>
        </w:tabs>
        <w:spacing w:line="480" w:lineRule="auto"/>
        <w:ind w:left="5595" w:right="26"/>
        <w:jc w:val="right"/>
        <w:rPr>
          <w:rFonts w:ascii="宋体" w:hAnsi="宋体" w:cs="宋体"/>
          <w:i w:val="0"/>
          <w:iCs w:val="0"/>
          <w:color w:val="auto"/>
          <w:sz w:val="24"/>
          <w:highlight w:val="none"/>
        </w:rPr>
      </w:pPr>
      <w:r>
        <w:rPr>
          <w:rFonts w:hint="eastAsia" w:ascii="宋体" w:hAnsi="宋体" w:cs="宋体"/>
          <w:i w:val="0"/>
          <w:iCs w:val="0"/>
          <w:color w:val="auto"/>
          <w:sz w:val="24"/>
          <w:highlight w:val="none"/>
          <w:u w:val="single"/>
        </w:rPr>
        <w:tab/>
      </w:r>
      <w:r>
        <w:rPr>
          <w:rFonts w:hint="eastAsia" w:ascii="宋体" w:hAnsi="宋体" w:cs="宋体"/>
          <w:i w:val="0"/>
          <w:iCs w:val="0"/>
          <w:color w:val="auto"/>
          <w:spacing w:val="-3"/>
          <w:sz w:val="24"/>
          <w:highlight w:val="none"/>
        </w:rPr>
        <w:t>年</w:t>
      </w:r>
      <w:r>
        <w:rPr>
          <w:rFonts w:hint="eastAsia" w:ascii="宋体" w:hAnsi="宋体" w:cs="宋体"/>
          <w:i w:val="0"/>
          <w:iCs w:val="0"/>
          <w:color w:val="auto"/>
          <w:spacing w:val="-3"/>
          <w:sz w:val="24"/>
          <w:highlight w:val="none"/>
          <w:u w:val="single"/>
        </w:rPr>
        <w:tab/>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ab/>
      </w:r>
      <w:r>
        <w:rPr>
          <w:rFonts w:hint="eastAsia" w:ascii="宋体" w:hAnsi="宋体" w:cs="宋体"/>
          <w:i w:val="0"/>
          <w:iCs w:val="0"/>
          <w:color w:val="auto"/>
          <w:sz w:val="24"/>
          <w:highlight w:val="none"/>
        </w:rPr>
        <w:t>日</w:t>
      </w:r>
    </w:p>
    <w:p w14:paraId="55A65051">
      <w:pPr>
        <w:spacing w:line="240" w:lineRule="exact"/>
        <w:rPr>
          <w:rFonts w:ascii="宋体" w:hAnsi="宋体" w:cs="宋体"/>
          <w:i w:val="0"/>
          <w:iCs w:val="0"/>
          <w:color w:val="auto"/>
          <w:highlight w:val="none"/>
        </w:rPr>
      </w:pPr>
    </w:p>
    <w:bookmarkEnd w:id="156"/>
    <w:p w14:paraId="760ACEF9">
      <w:pPr>
        <w:pStyle w:val="12"/>
        <w:jc w:val="right"/>
        <w:rPr>
          <w:rFonts w:ascii="宋体" w:hAnsi="宋体" w:cs="宋体"/>
          <w:i w:val="0"/>
          <w:iCs w:val="0"/>
          <w:color w:val="auto"/>
          <w:sz w:val="24"/>
          <w:highlight w:val="none"/>
        </w:rPr>
      </w:pPr>
      <w:bookmarkStart w:id="231" w:name="_Toc32052"/>
    </w:p>
    <w:p w14:paraId="28904CFF">
      <w:pPr>
        <w:pStyle w:val="12"/>
        <w:jc w:val="right"/>
        <w:rPr>
          <w:rFonts w:ascii="宋体" w:hAnsi="宋体" w:cs="宋体"/>
          <w:i w:val="0"/>
          <w:iCs w:val="0"/>
          <w:color w:val="auto"/>
          <w:sz w:val="24"/>
          <w:highlight w:val="none"/>
        </w:rPr>
      </w:pPr>
    </w:p>
    <w:p w14:paraId="20A8924F">
      <w:pPr>
        <w:pStyle w:val="12"/>
        <w:spacing w:before="6"/>
        <w:jc w:val="right"/>
        <w:rPr>
          <w:rFonts w:ascii="宋体" w:hAnsi="宋体" w:cs="宋体"/>
          <w:i w:val="0"/>
          <w:iCs w:val="0"/>
          <w:color w:val="auto"/>
          <w:sz w:val="24"/>
          <w:highlight w:val="none"/>
        </w:rPr>
      </w:pPr>
    </w:p>
    <w:p w14:paraId="0F747A04">
      <w:pPr>
        <w:spacing w:line="240" w:lineRule="exact"/>
        <w:rPr>
          <w:rFonts w:ascii="宋体" w:hAnsi="宋体" w:cs="宋体"/>
          <w:i w:val="0"/>
          <w:iCs w:val="0"/>
          <w:color w:val="auto"/>
          <w:highlight w:val="none"/>
        </w:rPr>
      </w:pPr>
      <w:r>
        <w:rPr>
          <w:rFonts w:hint="eastAsia" w:ascii="宋体" w:hAnsi="宋体" w:cs="宋体"/>
          <w:i w:val="0"/>
          <w:iCs w:val="0"/>
          <w:color w:val="auto"/>
          <w:highlight w:val="none"/>
        </w:rPr>
        <w:br w:type="page"/>
      </w:r>
      <w:bookmarkEnd w:id="231"/>
    </w:p>
    <w:p w14:paraId="56028DCC">
      <w:pPr>
        <w:spacing w:before="0" w:after="0" w:line="500" w:lineRule="exact"/>
        <w:jc w:val="center"/>
        <w:outlineLvl w:val="9"/>
        <w:rPr>
          <w:rFonts w:hint="eastAsia" w:ascii="宋体" w:hAnsi="宋体" w:cs="宋体"/>
          <w:i w:val="0"/>
          <w:iCs w:val="0"/>
          <w:color w:val="auto"/>
          <w:highlight w:val="none"/>
        </w:rPr>
      </w:pPr>
      <w:bookmarkStart w:id="232" w:name="_Toc5266"/>
      <w:bookmarkStart w:id="233" w:name="_Toc3397765"/>
    </w:p>
    <w:p w14:paraId="43646F75">
      <w:pPr>
        <w:pStyle w:val="2"/>
        <w:spacing w:before="0" w:after="0" w:line="500" w:lineRule="exact"/>
        <w:jc w:val="center"/>
        <w:rPr>
          <w:rFonts w:ascii="宋体" w:hAnsi="宋体" w:cs="宋体"/>
          <w:i w:val="0"/>
          <w:iCs w:val="0"/>
          <w:color w:val="auto"/>
          <w:highlight w:val="none"/>
        </w:rPr>
      </w:pPr>
      <w:bookmarkStart w:id="234" w:name="_Toc15341"/>
      <w:r>
        <w:rPr>
          <w:rFonts w:hint="eastAsia" w:ascii="宋体" w:hAnsi="宋体" w:cs="宋体"/>
          <w:i w:val="0"/>
          <w:iCs w:val="0"/>
          <w:color w:val="auto"/>
          <w:highlight w:val="none"/>
        </w:rPr>
        <w:t>第三章 评标方法</w:t>
      </w:r>
      <w:bookmarkEnd w:id="232"/>
      <w:bookmarkEnd w:id="233"/>
      <w:r>
        <w:rPr>
          <w:rFonts w:hint="eastAsia" w:ascii="宋体" w:hAnsi="宋体" w:cs="宋体"/>
          <w:i w:val="0"/>
          <w:iCs w:val="0"/>
          <w:color w:val="auto"/>
          <w:highlight w:val="none"/>
        </w:rPr>
        <w:t>（综合评分法）</w:t>
      </w:r>
      <w:bookmarkEnd w:id="234"/>
    </w:p>
    <w:p w14:paraId="50DA2DBA">
      <w:pPr>
        <w:spacing w:line="500" w:lineRule="exact"/>
        <w:ind w:firstLine="482" w:firstLineChars="200"/>
        <w:jc w:val="both"/>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一、评标委员会</w:t>
      </w:r>
    </w:p>
    <w:p w14:paraId="27089424">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评标委员会的组成见投标人须知前附表6.1.1。</w:t>
      </w:r>
    </w:p>
    <w:p w14:paraId="0492B583">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二、招标人或者招标代理机构职责</w:t>
      </w:r>
    </w:p>
    <w:p w14:paraId="40FBC061">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招标人或者招标代理机构负责组织评标工作，并履行下列职责：</w:t>
      </w:r>
    </w:p>
    <w:p w14:paraId="449CB900">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(一)核对评标专家身份和招标人代表授权函，对评标专家在招标活动中的职责履行情况予以记录，并及时将有关违法违规行为向有关部门报告。</w:t>
      </w:r>
    </w:p>
    <w:p w14:paraId="6C390C22">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(二)宣布评标纪律。</w:t>
      </w:r>
    </w:p>
    <w:p w14:paraId="0B7C062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(三)公布投标人名单，告知评标专家应当回避的情形。</w:t>
      </w:r>
    </w:p>
    <w:p w14:paraId="0D310D3C">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(四)组织评标委员会推选评标委员会主任，招标人代表不得担任评标委员会主任。</w:t>
      </w:r>
    </w:p>
    <w:p w14:paraId="4287DF8C">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(五)在评标期间采取必要的通讯管理措施，保证评标活动不受外界干扰。</w:t>
      </w:r>
    </w:p>
    <w:p w14:paraId="26C45C94">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(六)根据评标委员会的要求介绍招标相关政策法规、投标文件。</w:t>
      </w:r>
    </w:p>
    <w:p w14:paraId="021C79DE">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(七)维护评标秩序，监督评标委员会依照投标文件规定的评标程序、方法和标准进行独立评标，及时制止和纠正招标人代表、评标专家的倾向性言论或者违法违规行为。</w:t>
      </w:r>
    </w:p>
    <w:p w14:paraId="459A8837">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(八)核对评标结果，有不符合规定情形的，要求评标委员会复核或者书面说明理由，评标委员会拒绝的，应予记录。</w:t>
      </w:r>
    </w:p>
    <w:p w14:paraId="5B7CEF76">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(九)评标工作完成后，按照规定向评标专家支付劳务报酬和异地评标差旅费，不得向评标专家以外的其他人员支付评标劳务报酬。</w:t>
      </w:r>
    </w:p>
    <w:p w14:paraId="1C9CA007">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(十)处理与评标有关的其他事项。</w:t>
      </w:r>
    </w:p>
    <w:p w14:paraId="3F7F1251">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招标人可以在评标前说明项目背景和采购需求，说明内容不得含有歧视性、倾向性意见，不得超出投标文件所述范围。说明应当提交书面材料，并随</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一并存档。</w:t>
      </w:r>
    </w:p>
    <w:p w14:paraId="2AEE0573">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三、评标委员会职责</w:t>
      </w:r>
    </w:p>
    <w:p w14:paraId="0742E385">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评标委员会负责具体评标事务，并独立履行下列职责：</w:t>
      </w:r>
    </w:p>
    <w:p w14:paraId="25C7E77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(一)审查、评价投标文件是否符合</w:t>
      </w:r>
      <w:r>
        <w:rPr>
          <w:rFonts w:hint="eastAsia" w:ascii="宋体" w:hAnsi="宋体" w:cs="宋体"/>
          <w:i w:val="0"/>
          <w:iCs w:val="0"/>
          <w:color w:val="auto"/>
          <w:sz w:val="24"/>
          <w:szCs w:val="24"/>
          <w:highlight w:val="none"/>
          <w:lang w:eastAsia="zh-CN"/>
        </w:rPr>
        <w:t>招</w:t>
      </w:r>
      <w:r>
        <w:rPr>
          <w:rFonts w:hint="eastAsia" w:ascii="宋体" w:hAnsi="宋体" w:cs="宋体"/>
          <w:i w:val="0"/>
          <w:iCs w:val="0"/>
          <w:color w:val="auto"/>
          <w:sz w:val="24"/>
          <w:szCs w:val="24"/>
          <w:highlight w:val="none"/>
        </w:rPr>
        <w:t>标文件的商务、技术等实质性要求。</w:t>
      </w:r>
    </w:p>
    <w:p w14:paraId="0942B2EA">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(二)要求投标人对投标文件有关事项作出澄清或者说明。</w:t>
      </w:r>
    </w:p>
    <w:p w14:paraId="5DA89283">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(三)对投标文件进行比较和评价。</w:t>
      </w:r>
    </w:p>
    <w:p w14:paraId="26458B5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(四)确定中标候选人名单，以及根据招标人委托直接确定中标人。</w:t>
      </w:r>
    </w:p>
    <w:p w14:paraId="75070559">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(五)向招标人、招标代理机构或者有关部门报告评标中发现的违法行为。</w:t>
      </w:r>
    </w:p>
    <w:p w14:paraId="7FD8AFB4">
      <w:pPr>
        <w:pStyle w:val="13"/>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四、评标纪律</w:t>
      </w:r>
    </w:p>
    <w:p w14:paraId="7E1F2515">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(一)对评标内容和评标过程要严格保密，不得向投标人或与该过程无关的其它人员泄露。</w:t>
      </w:r>
    </w:p>
    <w:p w14:paraId="6628CAF1">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(二)评标期间的一切资料，包括评标意见、评标记录和评标结论，一律不得向外</w:t>
      </w:r>
      <w:r>
        <w:rPr>
          <w:rFonts w:hint="eastAsia" w:ascii="宋体" w:hAnsi="宋体" w:cs="宋体"/>
          <w:i w:val="0"/>
          <w:iCs w:val="0"/>
          <w:color w:val="auto"/>
          <w:sz w:val="24"/>
          <w:szCs w:val="24"/>
          <w:highlight w:val="none"/>
          <w:lang w:eastAsia="zh-CN"/>
        </w:rPr>
        <w:t>传播</w:t>
      </w:r>
      <w:r>
        <w:rPr>
          <w:rFonts w:hint="eastAsia" w:ascii="宋体" w:hAnsi="宋体" w:cs="宋体"/>
          <w:i w:val="0"/>
          <w:iCs w:val="0"/>
          <w:color w:val="auto"/>
          <w:sz w:val="24"/>
          <w:szCs w:val="24"/>
          <w:highlight w:val="none"/>
        </w:rPr>
        <w:t>和泄露。</w:t>
      </w:r>
    </w:p>
    <w:p w14:paraId="6F471241">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(三)任何属于投标文件审查、澄清、评价和比较的资料，不得向投标人或与该过程无关的其它人员泄露。</w:t>
      </w:r>
    </w:p>
    <w:p w14:paraId="1C996AE4">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(四)所有资料(包括投标文件、评标表格及各种文字记录)在评标结束后均应分别整理、存档备查，任何人不得复制和保留。</w:t>
      </w:r>
    </w:p>
    <w:p w14:paraId="04F08C54">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(五)评标期间，未经允许评标委员会以外的任何单位或部门不得参加评标和采访评标工作。</w:t>
      </w:r>
    </w:p>
    <w:p w14:paraId="72D7AAC9">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(六)评标期间，评标人员不得外出，确需外出时应事先请假。</w:t>
      </w:r>
    </w:p>
    <w:p w14:paraId="2406647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(七)评标期间，所有与会人员均不得私自以任何方式和投标人进行联系，需询问、澄清的问题由评委会统一组织办理。</w:t>
      </w:r>
    </w:p>
    <w:p w14:paraId="07B67E3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(八)评标结束后，与会人员不得向外界透露评标人员的评标意见，如因此造成的后果由责任者承担。</w:t>
      </w:r>
    </w:p>
    <w:p w14:paraId="0A903EDB">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五、评标原则</w:t>
      </w:r>
    </w:p>
    <w:p w14:paraId="29D9AAAD">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评标将遵循下列原则：</w:t>
      </w:r>
    </w:p>
    <w:p w14:paraId="27A87A2B">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(一)坚持</w:t>
      </w:r>
      <w:r>
        <w:rPr>
          <w:rFonts w:hint="eastAsia" w:ascii="宋体" w:hAnsi="宋体" w:cs="宋体"/>
          <w:i w:val="0"/>
          <w:iCs w:val="0"/>
          <w:color w:val="auto"/>
          <w:sz w:val="24"/>
          <w:szCs w:val="24"/>
          <w:highlight w:val="none"/>
          <w:lang w:eastAsia="zh-CN"/>
        </w:rPr>
        <w:t>“质量优先、价格合理、阳光操作、严格监管”</w:t>
      </w:r>
      <w:r>
        <w:rPr>
          <w:rFonts w:hint="eastAsia" w:ascii="宋体" w:hAnsi="宋体" w:cs="宋体"/>
          <w:i w:val="0"/>
          <w:iCs w:val="0"/>
          <w:color w:val="auto"/>
          <w:sz w:val="24"/>
          <w:szCs w:val="24"/>
          <w:highlight w:val="none"/>
        </w:rPr>
        <w:t>的原则，本着实事求是的精神，不带有任何主观意愿和偏见，认真负责地做好评标工作，公平、公正地对待每一个投标人。</w:t>
      </w:r>
    </w:p>
    <w:p w14:paraId="745E8E59">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(二)全面分析，综合评标。</w:t>
      </w:r>
    </w:p>
    <w:p w14:paraId="32382D98">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(三)评标只对投标人的投标文件进行评标，投标文件以外的资料、信息不应作为评标的依据。</w:t>
      </w:r>
    </w:p>
    <w:p w14:paraId="1D694760">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六、评标程序</w:t>
      </w:r>
    </w:p>
    <w:p w14:paraId="78BEDD0A">
      <w:pPr>
        <w:pStyle w:val="13"/>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本项目所采用的评标方法为 “综合评分法”，即：是指投标文件满足</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全部实质性要求且按评标因素的量化指标评标得分最高的投标人为中标候选人的评标方法。</w:t>
      </w:r>
    </w:p>
    <w:p w14:paraId="7D73B98E">
      <w:pPr>
        <w:pStyle w:val="13"/>
        <w:spacing w:line="500" w:lineRule="exact"/>
        <w:ind w:firstLine="480" w:firstLineChars="200"/>
        <w:rPr>
          <w:rFonts w:ascii="宋体" w:hAnsi="宋体" w:cs="宋体"/>
          <w:b/>
          <w:bCs/>
          <w:i w:val="0"/>
          <w:iCs w:val="0"/>
          <w:color w:val="auto"/>
          <w:sz w:val="24"/>
          <w:szCs w:val="24"/>
          <w:highlight w:val="none"/>
        </w:rPr>
      </w:pPr>
      <w:r>
        <w:rPr>
          <w:rFonts w:hint="eastAsia" w:ascii="宋体" w:hAnsi="宋体" w:cs="宋体"/>
          <w:i w:val="0"/>
          <w:iCs w:val="0"/>
          <w:color w:val="auto"/>
          <w:sz w:val="24"/>
          <w:szCs w:val="24"/>
          <w:highlight w:val="none"/>
        </w:rPr>
        <w:t>评标只对有效投标文件进行评审。评标按：资格审查</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符合性审查</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详细评审</w:t>
      </w:r>
      <w:r>
        <w:rPr>
          <w:rFonts w:hint="eastAsia" w:ascii="宋体" w:hAnsi="宋体" w:cs="宋体"/>
          <w:i w:val="0"/>
          <w:iCs w:val="0"/>
          <w:color w:val="auto"/>
          <w:sz w:val="24"/>
          <w:szCs w:val="24"/>
          <w:highlight w:val="none"/>
        </w:rPr>
        <w:sym w:font="Symbol" w:char="F0AE"/>
      </w:r>
      <w:r>
        <w:rPr>
          <w:rFonts w:hint="eastAsia" w:ascii="宋体" w:hAnsi="宋体" w:cs="宋体"/>
          <w:i w:val="0"/>
          <w:iCs w:val="0"/>
          <w:color w:val="auto"/>
          <w:sz w:val="24"/>
          <w:szCs w:val="24"/>
          <w:highlight w:val="none"/>
        </w:rPr>
        <w:t>评标报告的程序进行。</w:t>
      </w:r>
    </w:p>
    <w:p w14:paraId="741DC47E">
      <w:pPr>
        <w:pStyle w:val="13"/>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(一)资格审查</w:t>
      </w:r>
    </w:p>
    <w:p w14:paraId="49742FD4">
      <w:pPr>
        <w:pStyle w:val="13"/>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评标委员会对各投标人的投标文件进行资格审查，以确定其是否满足</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的实质性要求。</w:t>
      </w:r>
    </w:p>
    <w:p w14:paraId="7725EDEC">
      <w:pPr>
        <w:pStyle w:val="13"/>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满足下列情形的投标文件才能通过资格审查，未通过资格审查的投标人将不进入符合性审查：</w:t>
      </w:r>
    </w:p>
    <w:p w14:paraId="7072F1F7">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1.投标人应具有独立承担民事责任的能力，且在中华人民共和国境内依法注册的法人或其他组织，提供合法有效的营业执照或事业单位法人证书或其他行政机关颁发可以合法开展业务的法定证明文件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02AB386F">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2024年度或2025年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023EFFC2">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年10月至今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463DFCB3">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40521462">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7115B0D4">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ascii="宋体" w:hAnsi="宋体" w:cs="宋体"/>
          <w:i w:val="0"/>
          <w:iCs w:val="0"/>
          <w:color w:val="auto"/>
          <w:sz w:val="24"/>
          <w:highlight w:val="none"/>
        </w:rPr>
        <w:t>在开标当天登录相关网站查询并截图，交予评标委员会评审</w:t>
      </w:r>
      <w:r>
        <w:rPr>
          <w:rFonts w:hint="eastAsia" w:ascii="宋体" w:hAnsi="宋体" w:cs="宋体"/>
          <w:i w:val="0"/>
          <w:iCs w:val="0"/>
          <w:color w:val="auto"/>
          <w:sz w:val="24"/>
          <w:highlight w:val="none"/>
        </w:rPr>
        <w:t>。）；</w:t>
      </w:r>
    </w:p>
    <w:p w14:paraId="667C8970">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4B89F39B">
      <w:pPr>
        <w:pStyle w:val="12"/>
        <w:widowControl w:val="0"/>
        <w:ind w:firstLine="480" w:firstLineChars="20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57EE98B1">
      <w:pPr>
        <w:pStyle w:val="12"/>
        <w:widowControl w:val="0"/>
        <w:ind w:firstLine="480" w:firstLineChars="200"/>
        <w:jc w:val="both"/>
        <w:rPr>
          <w:rFonts w:hint="default" w:eastAsia="宋体"/>
          <w:highlight w:val="none"/>
          <w:lang w:val="en-US" w:eastAsia="zh-CN"/>
        </w:rPr>
      </w:pPr>
      <w:r>
        <w:rPr>
          <w:rFonts w:hint="eastAsia" w:ascii="宋体" w:hAnsi="宋体" w:eastAsia="宋体" w:cs="宋体"/>
          <w:i w:val="0"/>
          <w:iCs w:val="0"/>
          <w:color w:val="auto"/>
          <w:sz w:val="24"/>
          <w:highlight w:val="none"/>
          <w:lang w:val="en-US" w:eastAsia="zh-CN"/>
        </w:rPr>
        <w:t>7.投标人如果是代理商或经销商，须提供医疗器械经营许可/备案证，所投产品的医疗器械</w:t>
      </w:r>
      <w:r>
        <w:rPr>
          <w:rFonts w:hint="eastAsia" w:ascii="宋体" w:hAnsi="宋体" w:cs="宋体"/>
          <w:i w:val="0"/>
          <w:iCs w:val="0"/>
          <w:color w:val="auto"/>
          <w:sz w:val="24"/>
          <w:highlight w:val="none"/>
          <w:lang w:val="en-US" w:eastAsia="zh-CN"/>
        </w:rPr>
        <w:t>生产许可证/备案证（</w:t>
      </w:r>
      <w:r>
        <w:rPr>
          <w:rFonts w:hint="eastAsia" w:ascii="宋体" w:hAnsi="宋体" w:eastAsia="宋体" w:cs="宋体"/>
          <w:i w:val="0"/>
          <w:iCs w:val="0"/>
          <w:color w:val="auto"/>
          <w:sz w:val="24"/>
          <w:highlight w:val="none"/>
          <w:lang w:val="en-US" w:eastAsia="zh-CN"/>
        </w:rPr>
        <w:t>制造商工商注册地在中华人民共和国境外的，不做此要求</w:t>
      </w:r>
      <w:r>
        <w:rPr>
          <w:rFonts w:hint="eastAsia" w:ascii="宋体" w:hAnsi="宋体" w:cs="宋体"/>
          <w:i w:val="0"/>
          <w:iCs w:val="0"/>
          <w:color w:val="auto"/>
          <w:sz w:val="24"/>
          <w:highlight w:val="none"/>
          <w:lang w:val="en-US" w:eastAsia="zh-CN"/>
        </w:rPr>
        <w:t>），</w:t>
      </w:r>
      <w:r>
        <w:rPr>
          <w:rFonts w:hint="eastAsia" w:ascii="宋体" w:hAnsi="宋体" w:eastAsia="宋体" w:cs="宋体"/>
          <w:i w:val="0"/>
          <w:iCs w:val="0"/>
          <w:color w:val="auto"/>
          <w:sz w:val="24"/>
          <w:highlight w:val="none"/>
          <w:lang w:val="en-US" w:eastAsia="zh-CN"/>
        </w:rPr>
        <w:t>所投产品的医疗器械注册证及附件；投标人如果是制造商，须提供医疗器械生产许可/备案证(制造商工商注册地在中华人民共和国境外的，不做此要求)、所投产品的医疗器械注册证及附件。医疗器械生产或经营许可证生产或经营范围须覆盖所投第二、三类医疗器械(加盖公章的扫描件。根据中华人民共和国国务院令第 739 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宋体" w:hAnsi="宋体" w:eastAsia="宋体" w:cs="宋体"/>
          <w:i w:val="0"/>
          <w:iCs w:val="0"/>
          <w:color w:val="auto"/>
          <w:sz w:val="24"/>
          <w:highlight w:val="none"/>
        </w:rPr>
        <w:t>。</w:t>
      </w:r>
    </w:p>
    <w:p w14:paraId="53ACA9BB">
      <w:pPr>
        <w:spacing w:line="46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(二)符合性审查</w:t>
      </w:r>
    </w:p>
    <w:p w14:paraId="25C4ECE6">
      <w:pPr>
        <w:pStyle w:val="13"/>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评标委员会依据符合性评标标准对符合资格的投标人的投标文件进行符合性审查，有一项不符合评标标准的，评标委员会应当否决其投标。</w:t>
      </w:r>
    </w:p>
    <w:p w14:paraId="08C2E857">
      <w:pPr>
        <w:pStyle w:val="13"/>
        <w:ind w:firstLine="482" w:firstLineChars="200"/>
        <w:rPr>
          <w:rFonts w:ascii="宋体" w:hAnsi="宋体" w:cs="宋体"/>
          <w:i w:val="0"/>
          <w:iCs w:val="0"/>
          <w:color w:val="auto"/>
          <w:sz w:val="24"/>
          <w:szCs w:val="24"/>
          <w:highlight w:val="none"/>
        </w:rPr>
      </w:pPr>
      <w:r>
        <w:rPr>
          <w:rFonts w:hint="eastAsia" w:ascii="宋体" w:hAnsi="宋体" w:cs="宋体"/>
          <w:b/>
          <w:i w:val="0"/>
          <w:iCs w:val="0"/>
          <w:color w:val="auto"/>
          <w:sz w:val="24"/>
          <w:szCs w:val="24"/>
          <w:highlight w:val="none"/>
        </w:rPr>
        <w:t>符合性审查表</w:t>
      </w:r>
    </w:p>
    <w:tbl>
      <w:tblPr>
        <w:tblStyle w:val="34"/>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2437"/>
        <w:gridCol w:w="5482"/>
      </w:tblGrid>
      <w:tr w14:paraId="30D3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Pr>
          <w:p w14:paraId="40F8086E">
            <w:pPr>
              <w:pStyle w:val="13"/>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审查内容</w:t>
            </w:r>
          </w:p>
        </w:tc>
        <w:tc>
          <w:tcPr>
            <w:tcW w:w="2437" w:type="dxa"/>
          </w:tcPr>
          <w:p w14:paraId="27A651EE">
            <w:pPr>
              <w:pStyle w:val="13"/>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评标因素</w:t>
            </w:r>
          </w:p>
        </w:tc>
        <w:tc>
          <w:tcPr>
            <w:tcW w:w="5482" w:type="dxa"/>
          </w:tcPr>
          <w:p w14:paraId="1858434C">
            <w:pPr>
              <w:pStyle w:val="13"/>
              <w:widowControl w:val="0"/>
              <w:ind w:firstLine="0"/>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评标标准</w:t>
            </w:r>
          </w:p>
        </w:tc>
      </w:tr>
      <w:tr w14:paraId="3CDF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restart"/>
            <w:vAlign w:val="center"/>
          </w:tcPr>
          <w:p w14:paraId="648F8F8B">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符合性评标标准</w:t>
            </w:r>
          </w:p>
        </w:tc>
        <w:tc>
          <w:tcPr>
            <w:tcW w:w="2437" w:type="dxa"/>
          </w:tcPr>
          <w:p w14:paraId="22E36659">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kern w:val="2"/>
                <w:sz w:val="24"/>
                <w:szCs w:val="24"/>
                <w:highlight w:val="none"/>
              </w:rPr>
              <w:t>投标文件份数及其他要求</w:t>
            </w:r>
          </w:p>
        </w:tc>
        <w:tc>
          <w:tcPr>
            <w:tcW w:w="5482" w:type="dxa"/>
            <w:vAlign w:val="center"/>
          </w:tcPr>
          <w:p w14:paraId="628F3F7D">
            <w:pPr>
              <w:pStyle w:val="13"/>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w:t>
            </w:r>
            <w:r>
              <w:rPr>
                <w:rFonts w:hint="eastAsia" w:ascii="宋体" w:hAnsi="宋体" w:cs="宋体"/>
                <w:i w:val="0"/>
                <w:iCs w:val="0"/>
                <w:color w:val="auto"/>
                <w:kern w:val="2"/>
                <w:sz w:val="24"/>
                <w:szCs w:val="24"/>
                <w:highlight w:val="none"/>
              </w:rPr>
              <w:t>3.5.3(2)</w:t>
            </w:r>
            <w:r>
              <w:rPr>
                <w:rFonts w:hint="eastAsia" w:ascii="宋体" w:hAnsi="宋体" w:cs="宋体"/>
                <w:i w:val="0"/>
                <w:iCs w:val="0"/>
                <w:color w:val="auto"/>
                <w:sz w:val="24"/>
                <w:szCs w:val="24"/>
                <w:highlight w:val="none"/>
              </w:rPr>
              <w:t>款规定</w:t>
            </w:r>
          </w:p>
        </w:tc>
      </w:tr>
      <w:tr w14:paraId="455B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vAlign w:val="center"/>
          </w:tcPr>
          <w:p w14:paraId="1A77CDE8">
            <w:pPr>
              <w:pStyle w:val="13"/>
              <w:widowControl w:val="0"/>
              <w:ind w:firstLine="0"/>
              <w:jc w:val="center"/>
              <w:rPr>
                <w:rFonts w:ascii="宋体" w:hAnsi="宋体" w:cs="宋体"/>
                <w:i w:val="0"/>
                <w:iCs w:val="0"/>
                <w:color w:val="auto"/>
                <w:sz w:val="24"/>
                <w:szCs w:val="24"/>
                <w:highlight w:val="none"/>
              </w:rPr>
            </w:pPr>
          </w:p>
        </w:tc>
        <w:tc>
          <w:tcPr>
            <w:tcW w:w="2437" w:type="dxa"/>
            <w:vAlign w:val="center"/>
          </w:tcPr>
          <w:p w14:paraId="43AEF903">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投标文件格式</w:t>
            </w:r>
          </w:p>
        </w:tc>
        <w:tc>
          <w:tcPr>
            <w:tcW w:w="5482" w:type="dxa"/>
          </w:tcPr>
          <w:p w14:paraId="714D1C5D">
            <w:pPr>
              <w:pStyle w:val="13"/>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投标文件按</w:t>
            </w:r>
            <w:r>
              <w:rPr>
                <w:rFonts w:hint="eastAsia" w:ascii="宋体" w:hAnsi="宋体" w:cs="宋体"/>
                <w:i w:val="0"/>
                <w:iCs w:val="0"/>
                <w:color w:val="auto"/>
                <w:sz w:val="24"/>
                <w:szCs w:val="24"/>
                <w:highlight w:val="none"/>
              </w:rPr>
              <w:t>第六章“投标文件格式”</w:t>
            </w:r>
            <w:r>
              <w:rPr>
                <w:rFonts w:hint="eastAsia" w:ascii="宋体" w:hAnsi="宋体" w:cs="宋体"/>
                <w:i w:val="0"/>
                <w:iCs w:val="0"/>
                <w:color w:val="auto"/>
                <w:sz w:val="24"/>
                <w:highlight w:val="none"/>
              </w:rPr>
              <w:t>要求填写，内容完整且关键字迹清晰</w:t>
            </w:r>
          </w:p>
        </w:tc>
      </w:tr>
      <w:tr w14:paraId="1DB5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444003BB">
            <w:pPr>
              <w:pStyle w:val="13"/>
              <w:widowControl w:val="0"/>
              <w:ind w:firstLine="0"/>
              <w:jc w:val="center"/>
              <w:rPr>
                <w:rFonts w:ascii="宋体" w:hAnsi="宋体" w:cs="宋体"/>
                <w:i w:val="0"/>
                <w:iCs w:val="0"/>
                <w:color w:val="auto"/>
                <w:sz w:val="24"/>
                <w:szCs w:val="24"/>
                <w:highlight w:val="none"/>
              </w:rPr>
            </w:pPr>
          </w:p>
        </w:tc>
        <w:tc>
          <w:tcPr>
            <w:tcW w:w="2437" w:type="dxa"/>
            <w:vAlign w:val="center"/>
          </w:tcPr>
          <w:p w14:paraId="3744D16C">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投标文件签署、盖章</w:t>
            </w:r>
          </w:p>
        </w:tc>
        <w:tc>
          <w:tcPr>
            <w:tcW w:w="5482" w:type="dxa"/>
          </w:tcPr>
          <w:p w14:paraId="70324D75">
            <w:pPr>
              <w:pStyle w:val="13"/>
              <w:widowControl w:val="0"/>
              <w:ind w:firstLine="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按第六章“投标文件格式”</w:t>
            </w:r>
            <w:r>
              <w:rPr>
                <w:rFonts w:hint="eastAsia" w:ascii="宋体" w:hAnsi="宋体" w:cs="宋体"/>
                <w:i w:val="0"/>
                <w:iCs w:val="0"/>
                <w:color w:val="auto"/>
                <w:sz w:val="24"/>
                <w:highlight w:val="none"/>
              </w:rPr>
              <w:t>要求在规定位置加盖单位公章</w:t>
            </w:r>
            <w:r>
              <w:rPr>
                <w:rFonts w:hint="eastAsia" w:ascii="宋体" w:hAnsi="宋体" w:cs="宋体"/>
                <w:i w:val="0"/>
                <w:iCs w:val="0"/>
                <w:color w:val="auto"/>
                <w:sz w:val="24"/>
                <w:szCs w:val="24"/>
                <w:highlight w:val="none"/>
              </w:rPr>
              <w:t>、签字</w:t>
            </w:r>
          </w:p>
        </w:tc>
      </w:tr>
      <w:tr w14:paraId="07168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595" w:type="dxa"/>
            <w:vMerge w:val="continue"/>
          </w:tcPr>
          <w:p w14:paraId="010397A4">
            <w:pPr>
              <w:pStyle w:val="13"/>
              <w:widowControl w:val="0"/>
              <w:ind w:firstLine="0"/>
              <w:jc w:val="both"/>
              <w:rPr>
                <w:rFonts w:ascii="宋体" w:hAnsi="宋体" w:cs="宋体"/>
                <w:i w:val="0"/>
                <w:iCs w:val="0"/>
                <w:color w:val="auto"/>
                <w:sz w:val="24"/>
                <w:szCs w:val="24"/>
                <w:highlight w:val="none"/>
              </w:rPr>
            </w:pPr>
          </w:p>
        </w:tc>
        <w:tc>
          <w:tcPr>
            <w:tcW w:w="2437" w:type="dxa"/>
          </w:tcPr>
          <w:p w14:paraId="4234C9EC">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投标保证金</w:t>
            </w:r>
          </w:p>
        </w:tc>
        <w:tc>
          <w:tcPr>
            <w:tcW w:w="5482" w:type="dxa"/>
          </w:tcPr>
          <w:p w14:paraId="3EC24D1B">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符合第二章“投标人须知前附表”第3.4.1款规定</w:t>
            </w:r>
          </w:p>
        </w:tc>
      </w:tr>
      <w:tr w14:paraId="5390B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19C9A9FE">
            <w:pPr>
              <w:pStyle w:val="13"/>
              <w:widowControl w:val="0"/>
              <w:jc w:val="both"/>
              <w:rPr>
                <w:rFonts w:ascii="宋体" w:hAnsi="宋体" w:cs="宋体"/>
                <w:i w:val="0"/>
                <w:iCs w:val="0"/>
                <w:color w:val="auto"/>
                <w:sz w:val="24"/>
                <w:szCs w:val="24"/>
                <w:highlight w:val="none"/>
              </w:rPr>
            </w:pPr>
          </w:p>
        </w:tc>
        <w:tc>
          <w:tcPr>
            <w:tcW w:w="2437" w:type="dxa"/>
            <w:vAlign w:val="center"/>
          </w:tcPr>
          <w:p w14:paraId="34DBBDD3">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投标报价</w:t>
            </w:r>
          </w:p>
        </w:tc>
        <w:tc>
          <w:tcPr>
            <w:tcW w:w="5482" w:type="dxa"/>
          </w:tcPr>
          <w:p w14:paraId="1288E2D1">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符合第二章“投标人须知”第3.2项规定和第二章“投标人须知前附表”第3.2.4款规定</w:t>
            </w:r>
          </w:p>
        </w:tc>
      </w:tr>
      <w:tr w14:paraId="6DB98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595" w:type="dxa"/>
            <w:vMerge w:val="continue"/>
          </w:tcPr>
          <w:p w14:paraId="36821E00">
            <w:pPr>
              <w:pStyle w:val="13"/>
              <w:widowControl w:val="0"/>
              <w:jc w:val="both"/>
              <w:rPr>
                <w:rFonts w:ascii="宋体" w:hAnsi="宋体" w:cs="宋体"/>
                <w:i w:val="0"/>
                <w:iCs w:val="0"/>
                <w:color w:val="auto"/>
                <w:sz w:val="24"/>
                <w:szCs w:val="24"/>
                <w:highlight w:val="none"/>
              </w:rPr>
            </w:pPr>
          </w:p>
        </w:tc>
        <w:tc>
          <w:tcPr>
            <w:tcW w:w="2437" w:type="dxa"/>
            <w:vAlign w:val="center"/>
          </w:tcPr>
          <w:p w14:paraId="101C58B5">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投标有效期</w:t>
            </w:r>
          </w:p>
        </w:tc>
        <w:tc>
          <w:tcPr>
            <w:tcW w:w="5482" w:type="dxa"/>
          </w:tcPr>
          <w:p w14:paraId="2801EE6A">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符合第二章“投标人须知前附表”第3.3.1款规定</w:t>
            </w:r>
          </w:p>
        </w:tc>
      </w:tr>
      <w:tr w14:paraId="7A5E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595" w:type="dxa"/>
            <w:vMerge w:val="continue"/>
          </w:tcPr>
          <w:p w14:paraId="22EC481D">
            <w:pPr>
              <w:pStyle w:val="13"/>
              <w:widowControl w:val="0"/>
              <w:jc w:val="both"/>
              <w:rPr>
                <w:rFonts w:ascii="宋体" w:hAnsi="宋体" w:cs="宋体"/>
                <w:i w:val="0"/>
                <w:iCs w:val="0"/>
                <w:color w:val="auto"/>
                <w:sz w:val="24"/>
                <w:szCs w:val="24"/>
                <w:highlight w:val="none"/>
              </w:rPr>
            </w:pPr>
          </w:p>
        </w:tc>
        <w:tc>
          <w:tcPr>
            <w:tcW w:w="2437" w:type="dxa"/>
          </w:tcPr>
          <w:p w14:paraId="1001A05B">
            <w:pPr>
              <w:pStyle w:val="13"/>
              <w:widowControl w:val="0"/>
              <w:ind w:firstLine="0"/>
              <w:jc w:val="cente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sz w:val="24"/>
                <w:szCs w:val="24"/>
                <w:highlight w:val="none"/>
                <w:lang w:eastAsia="zh-CN"/>
              </w:rPr>
              <w:t>交货期</w:t>
            </w:r>
          </w:p>
        </w:tc>
        <w:tc>
          <w:tcPr>
            <w:tcW w:w="5482" w:type="dxa"/>
          </w:tcPr>
          <w:p w14:paraId="25FE030B">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符合第二章“投标人须知前附表”第1.3.2款规定</w:t>
            </w:r>
          </w:p>
        </w:tc>
      </w:tr>
      <w:tr w14:paraId="01AD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3C92EE9A">
            <w:pPr>
              <w:pStyle w:val="13"/>
              <w:widowControl w:val="0"/>
              <w:jc w:val="both"/>
              <w:rPr>
                <w:rFonts w:ascii="宋体" w:hAnsi="宋体" w:cs="宋体"/>
                <w:i w:val="0"/>
                <w:iCs w:val="0"/>
                <w:color w:val="auto"/>
                <w:sz w:val="24"/>
                <w:szCs w:val="24"/>
                <w:highlight w:val="none"/>
              </w:rPr>
            </w:pPr>
          </w:p>
        </w:tc>
        <w:tc>
          <w:tcPr>
            <w:tcW w:w="2437" w:type="dxa"/>
          </w:tcPr>
          <w:p w14:paraId="05DBD4F1">
            <w:pPr>
              <w:pStyle w:val="13"/>
              <w:widowControl w:val="0"/>
              <w:ind w:firstLine="0"/>
              <w:jc w:val="cente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kern w:val="2"/>
                <w:sz w:val="24"/>
                <w:szCs w:val="24"/>
                <w:highlight w:val="none"/>
                <w:lang w:eastAsia="zh-CN"/>
              </w:rPr>
              <w:t>交货地点</w:t>
            </w:r>
          </w:p>
        </w:tc>
        <w:tc>
          <w:tcPr>
            <w:tcW w:w="5482" w:type="dxa"/>
          </w:tcPr>
          <w:p w14:paraId="18438D84">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符合第二章“投标人须知前附表”第1.3.3款规定</w:t>
            </w:r>
          </w:p>
        </w:tc>
      </w:tr>
      <w:tr w14:paraId="73F2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6F00490D">
            <w:pPr>
              <w:pStyle w:val="13"/>
              <w:widowControl w:val="0"/>
              <w:jc w:val="both"/>
              <w:rPr>
                <w:rFonts w:ascii="宋体" w:hAnsi="宋体" w:cs="宋体"/>
                <w:i w:val="0"/>
                <w:iCs w:val="0"/>
                <w:color w:val="auto"/>
                <w:sz w:val="24"/>
                <w:szCs w:val="24"/>
                <w:highlight w:val="none"/>
              </w:rPr>
            </w:pPr>
          </w:p>
        </w:tc>
        <w:tc>
          <w:tcPr>
            <w:tcW w:w="2437" w:type="dxa"/>
          </w:tcPr>
          <w:p w14:paraId="0F5A6F6A">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投标内容</w:t>
            </w:r>
          </w:p>
        </w:tc>
        <w:tc>
          <w:tcPr>
            <w:tcW w:w="5482" w:type="dxa"/>
          </w:tcPr>
          <w:p w14:paraId="7BCA7479">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highlight w:val="none"/>
              </w:rPr>
              <w:t>投标人提供的</w:t>
            </w:r>
            <w:r>
              <w:rPr>
                <w:rFonts w:hint="eastAsia" w:ascii="宋体" w:hAnsi="宋体" w:cs="宋体"/>
                <w:i w:val="0"/>
                <w:iCs w:val="0"/>
                <w:color w:val="auto"/>
                <w:sz w:val="24"/>
                <w:highlight w:val="none"/>
                <w:lang w:val="en-US" w:eastAsia="zh-CN"/>
              </w:rPr>
              <w:t>货物</w:t>
            </w:r>
            <w:r>
              <w:rPr>
                <w:rFonts w:hint="eastAsia" w:ascii="宋体" w:hAnsi="宋体" w:cs="宋体"/>
                <w:i w:val="0"/>
                <w:iCs w:val="0"/>
                <w:color w:val="auto"/>
                <w:sz w:val="24"/>
                <w:highlight w:val="none"/>
              </w:rPr>
              <w:t>无实质性遗漏</w:t>
            </w:r>
          </w:p>
        </w:tc>
      </w:tr>
      <w:tr w14:paraId="614F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26C61F82">
            <w:pPr>
              <w:pStyle w:val="13"/>
              <w:widowControl w:val="0"/>
              <w:jc w:val="both"/>
              <w:rPr>
                <w:rFonts w:ascii="宋体" w:hAnsi="宋体" w:cs="宋体"/>
                <w:i w:val="0"/>
                <w:iCs w:val="0"/>
                <w:color w:val="auto"/>
                <w:sz w:val="24"/>
                <w:szCs w:val="24"/>
                <w:highlight w:val="none"/>
              </w:rPr>
            </w:pPr>
          </w:p>
        </w:tc>
        <w:tc>
          <w:tcPr>
            <w:tcW w:w="2437" w:type="dxa"/>
          </w:tcPr>
          <w:p w14:paraId="5F403315">
            <w:pPr>
              <w:pStyle w:val="13"/>
              <w:widowControl w:val="0"/>
              <w:ind w:firstLine="0"/>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不允许负偏离的实质性要求和条件</w:t>
            </w:r>
          </w:p>
        </w:tc>
        <w:tc>
          <w:tcPr>
            <w:tcW w:w="5482" w:type="dxa"/>
          </w:tcPr>
          <w:p w14:paraId="4CC348E7">
            <w:pPr>
              <w:widowControl w:val="0"/>
              <w:spacing w:line="380" w:lineRule="exact"/>
              <w:rPr>
                <w:rFonts w:ascii="宋体" w:hAnsi="宋体" w:cs="宋体"/>
                <w:i w:val="0"/>
                <w:iCs w:val="0"/>
                <w:color w:val="auto"/>
                <w:sz w:val="24"/>
                <w:highlight w:val="none"/>
              </w:rPr>
            </w:pPr>
            <w:r>
              <w:rPr>
                <w:rFonts w:hint="eastAsia" w:ascii="宋体" w:hAnsi="宋体" w:cs="宋体"/>
                <w:i w:val="0"/>
                <w:iCs w:val="0"/>
                <w:color w:val="auto"/>
                <w:sz w:val="24"/>
                <w:szCs w:val="24"/>
                <w:highlight w:val="none"/>
              </w:rPr>
              <w:t>符合第二章“投标人须知前附表”第</w:t>
            </w:r>
            <w:r>
              <w:rPr>
                <w:rFonts w:hint="eastAsia" w:ascii="宋体" w:hAnsi="宋体" w:cs="宋体"/>
                <w:i w:val="0"/>
                <w:iCs w:val="0"/>
                <w:color w:val="auto"/>
                <w:kern w:val="2"/>
                <w:sz w:val="24"/>
                <w:szCs w:val="24"/>
                <w:highlight w:val="none"/>
              </w:rPr>
              <w:t>1.10和3.5.2条款规定</w:t>
            </w:r>
          </w:p>
        </w:tc>
      </w:tr>
      <w:tr w14:paraId="7372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154604AB">
            <w:pPr>
              <w:pStyle w:val="13"/>
              <w:widowControl w:val="0"/>
              <w:jc w:val="both"/>
              <w:rPr>
                <w:rFonts w:ascii="宋体" w:hAnsi="宋体" w:cs="宋体"/>
                <w:i w:val="0"/>
                <w:iCs w:val="0"/>
                <w:color w:val="auto"/>
                <w:sz w:val="24"/>
                <w:szCs w:val="24"/>
                <w:highlight w:val="none"/>
              </w:rPr>
            </w:pPr>
          </w:p>
        </w:tc>
        <w:tc>
          <w:tcPr>
            <w:tcW w:w="2437" w:type="dxa"/>
            <w:vAlign w:val="center"/>
          </w:tcPr>
          <w:p w14:paraId="34979C9D">
            <w:pPr>
              <w:pStyle w:val="13"/>
              <w:widowControl w:val="0"/>
              <w:ind w:firstLine="0"/>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法定代表人授权委托书</w:t>
            </w:r>
          </w:p>
        </w:tc>
        <w:tc>
          <w:tcPr>
            <w:tcW w:w="5482" w:type="dxa"/>
          </w:tcPr>
          <w:p w14:paraId="1709EE25">
            <w:pPr>
              <w:pStyle w:val="13"/>
              <w:widowControl w:val="0"/>
              <w:ind w:firstLine="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法定代表人委托代理人投标的，应附法定代表人授权委托书原件</w:t>
            </w:r>
          </w:p>
        </w:tc>
      </w:tr>
      <w:tr w14:paraId="54CE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vMerge w:val="continue"/>
          </w:tcPr>
          <w:p w14:paraId="46ECEAA7">
            <w:pPr>
              <w:pStyle w:val="13"/>
              <w:widowControl w:val="0"/>
              <w:jc w:val="both"/>
              <w:rPr>
                <w:rFonts w:ascii="宋体" w:hAnsi="宋体" w:cs="宋体"/>
                <w:b w:val="0"/>
                <w:bCs w:val="0"/>
                <w:i w:val="0"/>
                <w:iCs w:val="0"/>
                <w:color w:val="auto"/>
                <w:sz w:val="24"/>
                <w:szCs w:val="24"/>
                <w:highlight w:val="none"/>
              </w:rPr>
            </w:pPr>
          </w:p>
        </w:tc>
        <w:tc>
          <w:tcPr>
            <w:tcW w:w="2437" w:type="dxa"/>
            <w:vAlign w:val="center"/>
          </w:tcPr>
          <w:p w14:paraId="34A5888E">
            <w:pPr>
              <w:widowControl w:val="0"/>
              <w:tabs>
                <w:tab w:val="left" w:pos="1260"/>
                <w:tab w:val="left" w:pos="1620"/>
              </w:tabs>
              <w:adjustRightInd w:val="0"/>
              <w:snapToGrid w:val="0"/>
              <w:jc w:val="center"/>
              <w:textAlignment w:val="baseline"/>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highlight w:val="none"/>
              </w:rPr>
              <w:t>其他无效情形</w:t>
            </w:r>
          </w:p>
        </w:tc>
        <w:tc>
          <w:tcPr>
            <w:tcW w:w="5482" w:type="dxa"/>
            <w:vAlign w:val="center"/>
          </w:tcPr>
          <w:p w14:paraId="37F34646">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(1)不同投标人的投标文件由同一单位或者个人编制；</w:t>
            </w:r>
          </w:p>
          <w:p w14:paraId="53D43C04">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(2)不同投标人委托同一单位或者个人办理投标事宜；</w:t>
            </w:r>
          </w:p>
          <w:p w14:paraId="61B54E47">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(3)不同投标人的投标文件载明的项目管理成员或者联系人员为同一人；</w:t>
            </w:r>
          </w:p>
          <w:p w14:paraId="3E09065F">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(4)不同投标人的投标文件异常一致或者投标报价呈规律性差异；</w:t>
            </w:r>
          </w:p>
          <w:p w14:paraId="7DE841C2">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(5)不同投标人的投标文件相互混装；</w:t>
            </w:r>
          </w:p>
          <w:p w14:paraId="0FEA47CE">
            <w:pPr>
              <w:pStyle w:val="13"/>
              <w:widowControl w:val="0"/>
              <w:autoSpaceDE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(6)不同投标人的投标保证金从同一单位或者个人的账户转出；</w:t>
            </w:r>
          </w:p>
          <w:p w14:paraId="5538C7F0">
            <w:pPr>
              <w:widowControl w:val="0"/>
              <w:tabs>
                <w:tab w:val="left" w:pos="1260"/>
                <w:tab w:val="left" w:pos="1620"/>
              </w:tabs>
              <w:adjustRightInd w:val="0"/>
              <w:snapToGrid w:val="0"/>
              <w:jc w:val="both"/>
              <w:textAlignment w:val="baseline"/>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(7)法律、法规和</w:t>
            </w:r>
            <w:r>
              <w:rPr>
                <w:rFonts w:hint="eastAsia" w:ascii="宋体" w:hAnsi="宋体" w:cs="宋体"/>
                <w:b w:val="0"/>
                <w:bCs w:val="0"/>
                <w:i w:val="0"/>
                <w:iCs w:val="0"/>
                <w:color w:val="auto"/>
                <w:sz w:val="24"/>
                <w:szCs w:val="24"/>
                <w:highlight w:val="none"/>
                <w:lang w:eastAsia="zh-CN"/>
              </w:rPr>
              <w:t>招标文件</w:t>
            </w:r>
            <w:r>
              <w:rPr>
                <w:rFonts w:hint="eastAsia" w:ascii="宋体" w:hAnsi="宋体" w:cs="宋体"/>
                <w:b w:val="0"/>
                <w:bCs w:val="0"/>
                <w:i w:val="0"/>
                <w:iCs w:val="0"/>
                <w:color w:val="auto"/>
                <w:sz w:val="24"/>
                <w:szCs w:val="24"/>
                <w:highlight w:val="none"/>
              </w:rPr>
              <w:t>规定的其他无效情形。</w:t>
            </w:r>
          </w:p>
        </w:tc>
      </w:tr>
      <w:tr w14:paraId="7AE4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95" w:type="dxa"/>
            <w:vMerge w:val="continue"/>
          </w:tcPr>
          <w:p w14:paraId="7577E2A7">
            <w:pPr>
              <w:pStyle w:val="13"/>
              <w:widowControl w:val="0"/>
              <w:jc w:val="both"/>
              <w:rPr>
                <w:rFonts w:ascii="宋体" w:hAnsi="宋体" w:cs="宋体"/>
                <w:b w:val="0"/>
                <w:bCs w:val="0"/>
                <w:i w:val="0"/>
                <w:iCs w:val="0"/>
                <w:color w:val="auto"/>
                <w:sz w:val="24"/>
                <w:szCs w:val="24"/>
                <w:highlight w:val="none"/>
              </w:rPr>
            </w:pPr>
          </w:p>
        </w:tc>
        <w:tc>
          <w:tcPr>
            <w:tcW w:w="2437" w:type="dxa"/>
          </w:tcPr>
          <w:p w14:paraId="5271D591">
            <w:pPr>
              <w:pStyle w:val="13"/>
              <w:widowControl w:val="0"/>
              <w:ind w:firstLine="0"/>
              <w:jc w:val="center"/>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附加条件</w:t>
            </w:r>
          </w:p>
        </w:tc>
        <w:tc>
          <w:tcPr>
            <w:tcW w:w="5482" w:type="dxa"/>
          </w:tcPr>
          <w:p w14:paraId="1C398E49">
            <w:pPr>
              <w:pStyle w:val="13"/>
              <w:widowControl w:val="0"/>
              <w:ind w:firstLine="0"/>
              <w:jc w:val="both"/>
              <w:rPr>
                <w:rFonts w:ascii="宋体" w:hAnsi="宋体" w:cs="宋体"/>
                <w:b w:val="0"/>
                <w:bCs w:val="0"/>
                <w:i w:val="0"/>
                <w:iCs w:val="0"/>
                <w:color w:val="auto"/>
                <w:sz w:val="24"/>
                <w:szCs w:val="24"/>
                <w:highlight w:val="none"/>
              </w:rPr>
            </w:pPr>
            <w:r>
              <w:rPr>
                <w:rFonts w:hint="eastAsia" w:ascii="宋体" w:hAnsi="宋体" w:cs="宋体"/>
                <w:b w:val="0"/>
                <w:bCs w:val="0"/>
                <w:i w:val="0"/>
                <w:iCs w:val="0"/>
                <w:color w:val="auto"/>
                <w:sz w:val="24"/>
                <w:szCs w:val="24"/>
                <w:highlight w:val="none"/>
              </w:rPr>
              <w:t>投标文件未含有招标人不能接受的附加条件</w:t>
            </w:r>
          </w:p>
        </w:tc>
      </w:tr>
    </w:tbl>
    <w:p w14:paraId="5990C454">
      <w:pPr>
        <w:pStyle w:val="13"/>
        <w:spacing w:line="360" w:lineRule="auto"/>
        <w:ind w:firstLine="480" w:firstLineChars="200"/>
        <w:rPr>
          <w:rFonts w:ascii="宋体" w:hAnsi="宋体" w:cs="宋体"/>
          <w:b/>
          <w:bCs/>
          <w:i w:val="0"/>
          <w:iCs w:val="0"/>
          <w:color w:val="auto"/>
          <w:sz w:val="24"/>
          <w:szCs w:val="24"/>
          <w:highlight w:val="none"/>
        </w:rPr>
      </w:pPr>
      <w:r>
        <w:rPr>
          <w:rFonts w:hint="eastAsia" w:ascii="宋体" w:hAnsi="宋体" w:cs="宋体"/>
          <w:b w:val="0"/>
          <w:bCs w:val="0"/>
          <w:i w:val="0"/>
          <w:iCs w:val="0"/>
          <w:color w:val="auto"/>
          <w:sz w:val="24"/>
          <w:szCs w:val="24"/>
          <w:highlight w:val="none"/>
        </w:rPr>
        <w:t xml:space="preserve"> (三)澄清有关问题</w:t>
      </w:r>
    </w:p>
    <w:p w14:paraId="72BB6C12">
      <w:pPr>
        <w:pStyle w:val="13"/>
        <w:spacing w:line="360" w:lineRule="auto"/>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1.投标文件内容澄清</w:t>
      </w:r>
    </w:p>
    <w:p w14:paraId="2D9C8C9D">
      <w:pPr>
        <w:pStyle w:val="13"/>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对于投标文件中含义不明确、同类问题表述不一致或者有明显文字和计算错误的内容，评标委员会应当以书面形式要求投标人作出必要的澄清、说明或者补正。投标人的澄清、说明或者补正应当采用书面形式，并加盖单位公章，或者由法定代表人或其授权的代表签字。投标人的澄清、说明或者补正不得超出投标文件的范围或者改变投标文件的实质性内容。</w:t>
      </w:r>
    </w:p>
    <w:p w14:paraId="547939D0">
      <w:pPr>
        <w:pStyle w:val="13"/>
        <w:spacing w:line="360" w:lineRule="auto"/>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2.报价不一致情形澄清</w:t>
      </w:r>
    </w:p>
    <w:p w14:paraId="655694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投标文件报价出现前后不一致的，除</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另有规定外，按照下列规定修正：</w:t>
      </w:r>
    </w:p>
    <w:p w14:paraId="3A617B07">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(1)投标文件中《开标一览表》内容与投标文件中相应内容不一致的，以《开标一览表》为准；</w:t>
      </w:r>
    </w:p>
    <w:p w14:paraId="0C73D888">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(2)大写金额和小写金额不一致的，以大写金额为准；</w:t>
      </w:r>
    </w:p>
    <w:p w14:paraId="6950A103">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(3)单价金额小数点或者百分比有明显错位的，以开标一览表的总价为准，并修改单价；</w:t>
      </w:r>
    </w:p>
    <w:p w14:paraId="6C83D540">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(4)总价金额与按单价汇总金额不一致的，以单价金额计算结果为准。</w:t>
      </w:r>
    </w:p>
    <w:p w14:paraId="22138D59">
      <w:pPr>
        <w:pStyle w:val="13"/>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同时出现两种以上不一致的，按照前款规定的顺序修正。修正后的报价经投标人确认后产生约束力，投标人不确认的，其投标无效。</w:t>
      </w:r>
    </w:p>
    <w:p w14:paraId="5801FAC5">
      <w:pPr>
        <w:pStyle w:val="13"/>
        <w:numPr>
          <w:ilvl w:val="0"/>
          <w:numId w:val="3"/>
        </w:numPr>
        <w:ind w:firstLine="482" w:firstLineChars="200"/>
        <w:rPr>
          <w:rFonts w:hint="eastAsia"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报价过低情形澄清</w:t>
      </w:r>
    </w:p>
    <w:p w14:paraId="667D306A">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根据</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关于推动解决政府采购异常低价问题的通知</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财库〔2026〕2号</w:t>
      </w:r>
      <w:r>
        <w:rPr>
          <w:rFonts w:hint="eastAsia" w:ascii="宋体" w:hAnsi="宋体" w:eastAsia="宋体" w:cs="宋体"/>
          <w:i w:val="0"/>
          <w:iCs w:val="0"/>
          <w:color w:val="auto"/>
          <w:sz w:val="24"/>
          <w:szCs w:val="24"/>
          <w:highlight w:val="none"/>
          <w:lang w:val="en-US" w:eastAsia="zh-CN"/>
        </w:rPr>
        <w:t>文件，评审中出现下列情形之一的，评审委员会应当启动异常低价投标（响应）审查程序：</w:t>
      </w:r>
    </w:p>
    <w:p w14:paraId="24346BA3">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（1）投标（响应）报价低于全部通过符合性审查供应商投标（响应）报价平均值6</w:t>
      </w:r>
      <w:r>
        <w:rPr>
          <w:rFonts w:hint="eastAsia" w:ascii="宋体" w:hAnsi="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lang w:val="en-US" w:eastAsia="zh-CN"/>
        </w:rPr>
        <w:t>%的，即投标（响应）报价&lt;全部通过符合性审查供应商投标（响应）报价平均值×6</w:t>
      </w:r>
      <w:r>
        <w:rPr>
          <w:rFonts w:hint="eastAsia" w:ascii="宋体" w:hAnsi="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lang w:val="en-US" w:eastAsia="zh-CN"/>
        </w:rPr>
        <w:t>%；</w:t>
      </w:r>
    </w:p>
    <w:p w14:paraId="6163BA2D">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（2）投标（响应）报价低于通过符合性审查的次低报价供应商投标（响应）报价6</w:t>
      </w:r>
      <w:r>
        <w:rPr>
          <w:rFonts w:hint="eastAsia" w:ascii="宋体" w:hAnsi="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lang w:val="en-US" w:eastAsia="zh-CN"/>
        </w:rPr>
        <w:t>%的，即投标（响应）报价&lt;通过符合性审查的次低报价供应商投标（响应）报价×6</w:t>
      </w:r>
      <w:r>
        <w:rPr>
          <w:rFonts w:hint="eastAsia" w:ascii="宋体" w:hAnsi="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lang w:val="en-US" w:eastAsia="zh-CN"/>
        </w:rPr>
        <w:t>%；</w:t>
      </w:r>
    </w:p>
    <w:p w14:paraId="4DC6EB4A">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（3）投标（响应）报价低于采购项目最高限价</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lang w:val="en-US" w:eastAsia="zh-CN"/>
        </w:rPr>
        <w:t>5%的，即投标（响应）报价&lt;采购项目最高限价×</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lang w:val="en-US" w:eastAsia="zh-CN"/>
        </w:rPr>
        <w:t>5%；</w:t>
      </w:r>
    </w:p>
    <w:p w14:paraId="061E34A3">
      <w:pPr>
        <w:pStyle w:val="13"/>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（4）评审委员会基于专业判断，认为供应商报价过低，有可能影响产品质量或者不能诚信履约的其他情形。</w:t>
      </w:r>
    </w:p>
    <w:p w14:paraId="0E175B05">
      <w:pPr>
        <w:pStyle w:val="13"/>
        <w:ind w:firstLine="480" w:firstLineChars="200"/>
        <w:rPr>
          <w:rFonts w:ascii="宋体" w:hAnsi="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若审核为异常低价的供应商可在30分钟内对投标（响应）价格作出解释，提供项目具体成本测算等与报价合理性相关的书面说明及必要的证明材料，包括但不限于原材料成本、人工成本、制造费用等。不作出说明或不能提供书面说明、证明材料，或者提供的书面说明、证明材料不能证明其报价合理性的，作为无效投标（响应）处理。</w:t>
      </w:r>
    </w:p>
    <w:p w14:paraId="14ACAD64">
      <w:pPr>
        <w:numPr>
          <w:ilvl w:val="0"/>
          <w:numId w:val="4"/>
        </w:num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商务和技术评估、综合比较与评价</w:t>
      </w:r>
    </w:p>
    <w:p w14:paraId="1EDAA0B7">
      <w:pPr>
        <w:autoSpaceDE w:val="0"/>
        <w:autoSpaceDN w:val="0"/>
        <w:spacing w:line="480" w:lineRule="exact"/>
        <w:ind w:firstLine="472" w:firstLineChars="196"/>
        <w:rPr>
          <w:rFonts w:ascii="宋体" w:hAnsi="宋体" w:cs="宋体"/>
          <w:b/>
          <w:bCs/>
          <w:sz w:val="24"/>
          <w:szCs w:val="24"/>
          <w:highlight w:val="none"/>
        </w:rPr>
      </w:pPr>
      <w:r>
        <w:rPr>
          <w:rFonts w:hint="eastAsia" w:ascii="宋体" w:hAnsi="宋体" w:cs="宋体"/>
          <w:b/>
          <w:bCs/>
          <w:sz w:val="24"/>
          <w:szCs w:val="24"/>
          <w:highlight w:val="none"/>
        </w:rPr>
        <w:t>综合评分方式</w:t>
      </w:r>
    </w:p>
    <w:tbl>
      <w:tblPr>
        <w:tblStyle w:val="3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46"/>
        <w:gridCol w:w="2359"/>
        <w:gridCol w:w="3905"/>
      </w:tblGrid>
      <w:tr w14:paraId="326E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1706" w:type="pct"/>
            <w:vAlign w:val="center"/>
          </w:tcPr>
          <w:p w14:paraId="44545742">
            <w:pPr>
              <w:pStyle w:val="13"/>
              <w:spacing w:line="360" w:lineRule="auto"/>
              <w:ind w:firstLine="0"/>
              <w:jc w:val="center"/>
              <w:rPr>
                <w:rFonts w:ascii="宋体" w:hAnsi="宋体" w:cs="宋体"/>
                <w:b/>
                <w:sz w:val="24"/>
                <w:szCs w:val="24"/>
                <w:highlight w:val="none"/>
              </w:rPr>
            </w:pPr>
            <w:r>
              <w:rPr>
                <w:rFonts w:hint="eastAsia" w:ascii="宋体" w:hAnsi="宋体" w:cs="宋体"/>
                <w:b/>
                <w:sz w:val="24"/>
                <w:szCs w:val="24"/>
                <w:highlight w:val="none"/>
              </w:rPr>
              <w:t>评分因素</w:t>
            </w:r>
          </w:p>
        </w:tc>
        <w:tc>
          <w:tcPr>
            <w:tcW w:w="1240" w:type="pct"/>
            <w:vAlign w:val="center"/>
          </w:tcPr>
          <w:p w14:paraId="72A46374">
            <w:pPr>
              <w:pStyle w:val="13"/>
              <w:spacing w:line="360" w:lineRule="auto"/>
              <w:ind w:firstLine="0"/>
              <w:jc w:val="center"/>
              <w:rPr>
                <w:rFonts w:ascii="宋体" w:hAnsi="宋体" w:cs="宋体"/>
                <w:b/>
                <w:sz w:val="24"/>
                <w:szCs w:val="24"/>
                <w:highlight w:val="none"/>
              </w:rPr>
            </w:pPr>
            <w:r>
              <w:rPr>
                <w:rFonts w:hint="eastAsia" w:ascii="宋体" w:hAnsi="宋体" w:cs="宋体"/>
                <w:b/>
                <w:sz w:val="24"/>
                <w:szCs w:val="24"/>
                <w:highlight w:val="none"/>
              </w:rPr>
              <w:t>权重</w:t>
            </w:r>
          </w:p>
        </w:tc>
        <w:tc>
          <w:tcPr>
            <w:tcW w:w="2052" w:type="pct"/>
            <w:vAlign w:val="center"/>
          </w:tcPr>
          <w:p w14:paraId="2788493C">
            <w:pPr>
              <w:pStyle w:val="13"/>
              <w:spacing w:line="360" w:lineRule="auto"/>
              <w:jc w:val="center"/>
              <w:rPr>
                <w:rFonts w:ascii="宋体" w:hAnsi="宋体" w:cs="宋体"/>
                <w:b/>
                <w:sz w:val="24"/>
                <w:szCs w:val="24"/>
                <w:highlight w:val="none"/>
              </w:rPr>
            </w:pPr>
            <w:r>
              <w:rPr>
                <w:rFonts w:hint="eastAsia" w:ascii="宋体" w:hAnsi="宋体" w:cs="宋体"/>
                <w:b/>
                <w:sz w:val="24"/>
                <w:szCs w:val="24"/>
                <w:highlight w:val="none"/>
              </w:rPr>
              <w:t>分值分配</w:t>
            </w:r>
          </w:p>
        </w:tc>
      </w:tr>
      <w:tr w14:paraId="5C21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6" w:type="pct"/>
            <w:vAlign w:val="center"/>
          </w:tcPr>
          <w:p w14:paraId="4D5DBC79">
            <w:pPr>
              <w:pStyle w:val="13"/>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投标报价</w:t>
            </w:r>
          </w:p>
        </w:tc>
        <w:tc>
          <w:tcPr>
            <w:tcW w:w="1240" w:type="pct"/>
            <w:vAlign w:val="center"/>
          </w:tcPr>
          <w:p w14:paraId="20145EBA">
            <w:pPr>
              <w:pStyle w:val="13"/>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0.30</w:t>
            </w:r>
          </w:p>
        </w:tc>
        <w:tc>
          <w:tcPr>
            <w:tcW w:w="2052" w:type="pct"/>
            <w:vAlign w:val="center"/>
          </w:tcPr>
          <w:p w14:paraId="4882C735">
            <w:pPr>
              <w:pStyle w:val="13"/>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30分</w:t>
            </w:r>
          </w:p>
        </w:tc>
      </w:tr>
      <w:tr w14:paraId="43F05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6" w:type="pct"/>
            <w:vAlign w:val="center"/>
          </w:tcPr>
          <w:p w14:paraId="7D05E0A1">
            <w:pPr>
              <w:pStyle w:val="13"/>
              <w:spacing w:line="360" w:lineRule="auto"/>
              <w:ind w:firstLine="0"/>
              <w:jc w:val="center"/>
              <w:rPr>
                <w:rFonts w:ascii="宋体" w:hAnsi="宋体" w:cs="宋体"/>
                <w:sz w:val="24"/>
                <w:szCs w:val="24"/>
                <w:highlight w:val="none"/>
              </w:rPr>
            </w:pPr>
            <w:r>
              <w:rPr>
                <w:rFonts w:hint="eastAsia" w:ascii="宋体" w:hAnsi="宋体" w:cs="宋体"/>
                <w:bCs/>
                <w:sz w:val="24"/>
                <w:szCs w:val="24"/>
                <w:highlight w:val="none"/>
              </w:rPr>
              <w:t>技术部分</w:t>
            </w:r>
          </w:p>
        </w:tc>
        <w:tc>
          <w:tcPr>
            <w:tcW w:w="1240" w:type="pct"/>
            <w:vAlign w:val="center"/>
          </w:tcPr>
          <w:p w14:paraId="65876F28">
            <w:pPr>
              <w:pStyle w:val="13"/>
              <w:spacing w:line="360" w:lineRule="auto"/>
              <w:ind w:firstLine="0"/>
              <w:jc w:val="center"/>
              <w:rPr>
                <w:rFonts w:ascii="宋体" w:hAnsi="宋体" w:cs="宋体"/>
                <w:color w:val="auto"/>
                <w:sz w:val="24"/>
                <w:szCs w:val="24"/>
                <w:highlight w:val="none"/>
              </w:rPr>
            </w:pPr>
            <w:r>
              <w:rPr>
                <w:rFonts w:hint="eastAsia" w:ascii="宋体" w:hAnsi="宋体" w:cs="宋体"/>
                <w:color w:val="auto"/>
                <w:sz w:val="24"/>
                <w:szCs w:val="24"/>
                <w:highlight w:val="none"/>
              </w:rPr>
              <w:t>0.</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0</w:t>
            </w:r>
          </w:p>
        </w:tc>
        <w:tc>
          <w:tcPr>
            <w:tcW w:w="2052" w:type="pct"/>
            <w:vAlign w:val="center"/>
          </w:tcPr>
          <w:p w14:paraId="17C03650">
            <w:pPr>
              <w:pStyle w:val="13"/>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0分</w:t>
            </w:r>
          </w:p>
        </w:tc>
      </w:tr>
      <w:tr w14:paraId="7030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706" w:type="pct"/>
            <w:vAlign w:val="center"/>
          </w:tcPr>
          <w:p w14:paraId="6B91DEDA">
            <w:pPr>
              <w:pStyle w:val="13"/>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合计</w:t>
            </w:r>
          </w:p>
        </w:tc>
        <w:tc>
          <w:tcPr>
            <w:tcW w:w="1240" w:type="pct"/>
            <w:vAlign w:val="center"/>
          </w:tcPr>
          <w:p w14:paraId="561F4C60">
            <w:pPr>
              <w:pStyle w:val="13"/>
              <w:spacing w:line="360" w:lineRule="auto"/>
              <w:ind w:firstLine="0"/>
              <w:jc w:val="center"/>
              <w:rPr>
                <w:rFonts w:ascii="宋体" w:hAnsi="宋体" w:cs="宋体"/>
                <w:sz w:val="24"/>
                <w:szCs w:val="24"/>
                <w:highlight w:val="none"/>
              </w:rPr>
            </w:pPr>
            <w:r>
              <w:rPr>
                <w:rFonts w:hint="eastAsia" w:ascii="宋体" w:hAnsi="宋体" w:cs="宋体"/>
                <w:sz w:val="24"/>
                <w:szCs w:val="24"/>
                <w:highlight w:val="none"/>
              </w:rPr>
              <w:t>1</w:t>
            </w:r>
          </w:p>
        </w:tc>
        <w:tc>
          <w:tcPr>
            <w:tcW w:w="2052" w:type="pct"/>
            <w:vAlign w:val="center"/>
          </w:tcPr>
          <w:p w14:paraId="09C1F065">
            <w:pPr>
              <w:pStyle w:val="13"/>
              <w:spacing w:line="360" w:lineRule="auto"/>
              <w:jc w:val="center"/>
              <w:rPr>
                <w:rFonts w:ascii="宋体" w:hAnsi="宋体" w:cs="宋体"/>
                <w:sz w:val="24"/>
                <w:szCs w:val="24"/>
                <w:highlight w:val="none"/>
              </w:rPr>
            </w:pPr>
            <w:r>
              <w:rPr>
                <w:rFonts w:hint="eastAsia" w:ascii="宋体" w:hAnsi="宋体" w:cs="宋体"/>
                <w:sz w:val="24"/>
                <w:szCs w:val="24"/>
                <w:highlight w:val="none"/>
              </w:rPr>
              <w:t>100分</w:t>
            </w:r>
          </w:p>
        </w:tc>
      </w:tr>
    </w:tbl>
    <w:p w14:paraId="7E7A8501">
      <w:pPr>
        <w:pStyle w:val="13"/>
        <w:spacing w:line="480" w:lineRule="exact"/>
        <w:ind w:firstLine="480" w:firstLineChars="200"/>
        <w:rPr>
          <w:rFonts w:ascii="宋体" w:hAnsi="宋体" w:cs="宋体"/>
          <w:sz w:val="24"/>
          <w:szCs w:val="24"/>
          <w:highlight w:val="none"/>
        </w:rPr>
      </w:pPr>
      <w:r>
        <w:rPr>
          <w:rFonts w:hint="eastAsia" w:ascii="宋体" w:hAnsi="宋体" w:cs="宋体"/>
          <w:sz w:val="24"/>
          <w:szCs w:val="24"/>
          <w:highlight w:val="none"/>
        </w:rPr>
        <w:t>具体评审细则如下：</w:t>
      </w:r>
    </w:p>
    <w:p w14:paraId="6BE12DA8">
      <w:pPr>
        <w:rPr>
          <w:rFonts w:ascii="宋体" w:hAnsi="宋体" w:cs="宋体"/>
          <w:i w:val="0"/>
          <w:iCs w:val="0"/>
          <w:color w:val="auto"/>
          <w:highlight w:val="none"/>
        </w:rPr>
      </w:pPr>
    </w:p>
    <w:tbl>
      <w:tblPr>
        <w:tblStyle w:val="34"/>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40"/>
        <w:gridCol w:w="1339"/>
        <w:gridCol w:w="7329"/>
      </w:tblGrid>
      <w:tr w14:paraId="0777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5" w:hRule="atLeast"/>
          <w:jc w:val="center"/>
        </w:trPr>
        <w:tc>
          <w:tcPr>
            <w:tcW w:w="1040" w:type="dxa"/>
            <w:vMerge w:val="restart"/>
            <w:tcBorders>
              <w:tl2br w:val="nil"/>
              <w:tr2bl w:val="nil"/>
            </w:tcBorders>
            <w:tcMar>
              <w:top w:w="10" w:type="dxa"/>
              <w:left w:w="10" w:type="dxa"/>
              <w:right w:w="10" w:type="dxa"/>
            </w:tcMar>
            <w:vAlign w:val="center"/>
          </w:tcPr>
          <w:p w14:paraId="434F218A">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lang w:eastAsia="zh-CN"/>
              </w:rPr>
            </w:pPr>
            <w:bookmarkStart w:id="235" w:name="_Toc15431"/>
            <w:r>
              <w:rPr>
                <w:rFonts w:hint="eastAsia" w:ascii="宋体" w:hAnsi="宋体" w:eastAsia="宋体" w:cs="宋体"/>
                <w:b/>
                <w:i w:val="0"/>
                <w:iCs w:val="0"/>
                <w:color w:val="auto"/>
                <w:sz w:val="24"/>
                <w:szCs w:val="24"/>
                <w:highlight w:val="none"/>
                <w:lang w:bidi="ar"/>
              </w:rPr>
              <w:t>商务部分</w:t>
            </w:r>
            <w:r>
              <w:rPr>
                <w:rFonts w:hint="eastAsia" w:ascii="宋体" w:hAnsi="宋体" w:eastAsia="宋体" w:cs="宋体"/>
                <w:b/>
                <w:i w:val="0"/>
                <w:iCs w:val="0"/>
                <w:color w:val="auto"/>
                <w:sz w:val="24"/>
                <w:szCs w:val="24"/>
                <w:highlight w:val="none"/>
                <w:lang w:eastAsia="zh-CN" w:bidi="ar"/>
              </w:rPr>
              <w:t>（</w:t>
            </w:r>
            <w:r>
              <w:rPr>
                <w:rFonts w:hint="eastAsia" w:ascii="宋体" w:hAnsi="宋体" w:eastAsia="宋体" w:cs="宋体"/>
                <w:b/>
                <w:bCs/>
                <w:i w:val="0"/>
                <w:iCs w:val="0"/>
                <w:color w:val="auto"/>
                <w:sz w:val="24"/>
                <w:szCs w:val="24"/>
                <w:highlight w:val="none"/>
              </w:rPr>
              <w:t>满分</w:t>
            </w:r>
            <w:r>
              <w:rPr>
                <w:rFonts w:hint="eastAsia" w:ascii="宋体" w:hAnsi="宋体" w:eastAsia="宋体" w:cs="宋体"/>
                <w:b/>
                <w:bCs/>
                <w:i w:val="0"/>
                <w:iCs w:val="0"/>
                <w:color w:val="auto"/>
                <w:sz w:val="24"/>
                <w:szCs w:val="24"/>
                <w:highlight w:val="none"/>
                <w:lang w:val="en-US" w:eastAsia="zh-CN"/>
              </w:rPr>
              <w:t>30</w:t>
            </w:r>
            <w:r>
              <w:rPr>
                <w:rFonts w:hint="eastAsia" w:ascii="宋体" w:hAnsi="宋体" w:eastAsia="宋体" w:cs="宋体"/>
                <w:b/>
                <w:bCs/>
                <w:i w:val="0"/>
                <w:iCs w:val="0"/>
                <w:color w:val="auto"/>
                <w:sz w:val="24"/>
                <w:szCs w:val="24"/>
                <w:highlight w:val="none"/>
              </w:rPr>
              <w:t>分</w:t>
            </w:r>
            <w:r>
              <w:rPr>
                <w:rFonts w:hint="eastAsia" w:ascii="宋体" w:hAnsi="宋体" w:eastAsia="宋体" w:cs="宋体"/>
                <w:b/>
                <w:i w:val="0"/>
                <w:iCs w:val="0"/>
                <w:color w:val="auto"/>
                <w:sz w:val="24"/>
                <w:szCs w:val="24"/>
                <w:highlight w:val="none"/>
                <w:lang w:eastAsia="zh-CN" w:bidi="ar"/>
              </w:rPr>
              <w:t>）</w:t>
            </w:r>
          </w:p>
        </w:tc>
        <w:tc>
          <w:tcPr>
            <w:tcW w:w="1339" w:type="dxa"/>
            <w:vMerge w:val="restart"/>
            <w:tcBorders>
              <w:tl2br w:val="nil"/>
              <w:tr2bl w:val="nil"/>
            </w:tcBorders>
            <w:tcMar>
              <w:top w:w="10" w:type="dxa"/>
              <w:left w:w="10" w:type="dxa"/>
              <w:right w:w="10" w:type="dxa"/>
            </w:tcMar>
            <w:vAlign w:val="center"/>
          </w:tcPr>
          <w:p w14:paraId="64CFF3B2">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lang w:bidi="ar"/>
              </w:rPr>
              <w:t>评分内容</w:t>
            </w:r>
          </w:p>
        </w:tc>
        <w:tc>
          <w:tcPr>
            <w:tcW w:w="7329" w:type="dxa"/>
            <w:vMerge w:val="restart"/>
            <w:tcBorders>
              <w:tl2br w:val="nil"/>
              <w:tr2bl w:val="nil"/>
            </w:tcBorders>
            <w:tcMar>
              <w:top w:w="10" w:type="dxa"/>
              <w:left w:w="10" w:type="dxa"/>
              <w:right w:w="10" w:type="dxa"/>
            </w:tcMar>
            <w:vAlign w:val="center"/>
          </w:tcPr>
          <w:p w14:paraId="0099D080">
            <w:pPr>
              <w:keepNext w:val="0"/>
              <w:keepLines w:val="0"/>
              <w:pageBreakBefore w:val="0"/>
              <w:widowControl/>
              <w:kinsoku/>
              <w:wordWrap/>
              <w:overflowPunct/>
              <w:topLinePunct w:val="0"/>
              <w:autoSpaceDE/>
              <w:autoSpaceDN/>
              <w:bidi w:val="0"/>
              <w:spacing w:line="360" w:lineRule="auto"/>
              <w:jc w:val="center"/>
              <w:textAlignment w:val="center"/>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lang w:bidi="ar"/>
              </w:rPr>
              <w:t>评分标准</w:t>
            </w:r>
          </w:p>
        </w:tc>
      </w:tr>
      <w:tr w14:paraId="3BD2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040" w:type="dxa"/>
            <w:vMerge w:val="continue"/>
            <w:tcBorders>
              <w:tl2br w:val="nil"/>
              <w:tr2bl w:val="nil"/>
            </w:tcBorders>
            <w:tcMar>
              <w:top w:w="10" w:type="dxa"/>
              <w:left w:w="10" w:type="dxa"/>
              <w:right w:w="10" w:type="dxa"/>
            </w:tcMar>
            <w:vAlign w:val="center"/>
          </w:tcPr>
          <w:p w14:paraId="03C226F4">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c>
          <w:tcPr>
            <w:tcW w:w="1339" w:type="dxa"/>
            <w:vMerge w:val="continue"/>
            <w:tcBorders>
              <w:tl2br w:val="nil"/>
              <w:tr2bl w:val="nil"/>
            </w:tcBorders>
            <w:tcMar>
              <w:top w:w="10" w:type="dxa"/>
              <w:left w:w="10" w:type="dxa"/>
              <w:right w:w="10" w:type="dxa"/>
            </w:tcMar>
            <w:vAlign w:val="center"/>
          </w:tcPr>
          <w:p w14:paraId="3B8464D9">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c>
          <w:tcPr>
            <w:tcW w:w="7329" w:type="dxa"/>
            <w:vMerge w:val="continue"/>
            <w:tcBorders>
              <w:tl2br w:val="nil"/>
              <w:tr2bl w:val="nil"/>
            </w:tcBorders>
            <w:tcMar>
              <w:top w:w="10" w:type="dxa"/>
              <w:left w:w="10" w:type="dxa"/>
              <w:right w:w="10" w:type="dxa"/>
            </w:tcMar>
            <w:vAlign w:val="center"/>
          </w:tcPr>
          <w:p w14:paraId="66B1AF73">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i w:val="0"/>
                <w:iCs w:val="0"/>
                <w:color w:val="auto"/>
                <w:sz w:val="24"/>
                <w:szCs w:val="24"/>
                <w:highlight w:val="none"/>
              </w:rPr>
            </w:pPr>
          </w:p>
        </w:tc>
      </w:tr>
      <w:tr w14:paraId="43AF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6" w:hRule="atLeast"/>
          <w:jc w:val="center"/>
        </w:trPr>
        <w:tc>
          <w:tcPr>
            <w:tcW w:w="1040" w:type="dxa"/>
            <w:vMerge w:val="continue"/>
            <w:tcBorders>
              <w:tl2br w:val="nil"/>
              <w:tr2bl w:val="nil"/>
            </w:tcBorders>
            <w:shd w:val="clear" w:color="auto" w:fill="auto"/>
            <w:tcMar>
              <w:top w:w="10" w:type="dxa"/>
              <w:left w:w="10" w:type="dxa"/>
              <w:right w:w="10" w:type="dxa"/>
            </w:tcMar>
            <w:vAlign w:val="center"/>
          </w:tcPr>
          <w:p w14:paraId="04134ECA">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i w:val="0"/>
                <w:iCs w:val="0"/>
                <w:color w:val="auto"/>
                <w:sz w:val="24"/>
                <w:szCs w:val="24"/>
                <w:highlight w:val="none"/>
              </w:rPr>
            </w:pPr>
          </w:p>
        </w:tc>
        <w:tc>
          <w:tcPr>
            <w:tcW w:w="1339" w:type="dxa"/>
            <w:tcBorders>
              <w:tl2br w:val="nil"/>
              <w:tr2bl w:val="nil"/>
            </w:tcBorders>
            <w:shd w:val="clear" w:color="auto" w:fill="auto"/>
            <w:tcMar>
              <w:top w:w="10" w:type="dxa"/>
              <w:left w:w="10" w:type="dxa"/>
              <w:right w:w="10" w:type="dxa"/>
            </w:tcMar>
            <w:vAlign w:val="center"/>
          </w:tcPr>
          <w:p w14:paraId="79DF921E">
            <w:pPr>
              <w:pStyle w:val="58"/>
              <w:keepNext w:val="0"/>
              <w:keepLines w:val="0"/>
              <w:pageBreakBefore w:val="0"/>
              <w:kinsoku/>
              <w:wordWrap/>
              <w:overflowPunct/>
              <w:topLinePunct w:val="0"/>
              <w:bidi w:val="0"/>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p>
          <w:p w14:paraId="24F2AE0C">
            <w:pPr>
              <w:pStyle w:val="58"/>
              <w:keepNext w:val="0"/>
              <w:keepLines w:val="0"/>
              <w:pageBreakBefore w:val="0"/>
              <w:kinsoku/>
              <w:wordWrap/>
              <w:overflowPunct/>
              <w:topLinePunct w:val="0"/>
              <w:bidi w:val="0"/>
              <w:spacing w:line="360" w:lineRule="auto"/>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投标报价</w:t>
            </w:r>
          </w:p>
          <w:p w14:paraId="5B8A6476">
            <w:pPr>
              <w:pStyle w:val="58"/>
              <w:keepNext w:val="0"/>
              <w:keepLines w:val="0"/>
              <w:pageBreakBefore w:val="0"/>
              <w:kinsoku/>
              <w:wordWrap/>
              <w:overflowPunct/>
              <w:topLinePunct w:val="0"/>
              <w:bidi w:val="0"/>
              <w:spacing w:line="360" w:lineRule="auto"/>
              <w:jc w:val="center"/>
              <w:rPr>
                <w:rFonts w:hint="eastAsia" w:ascii="宋体" w:hAnsi="宋体" w:eastAsia="宋体" w:cs="宋体"/>
                <w:b/>
                <w:bCs/>
                <w:i w:val="0"/>
                <w:iCs w:val="0"/>
                <w:color w:val="auto"/>
                <w:kern w:val="2"/>
                <w:sz w:val="24"/>
                <w:szCs w:val="24"/>
                <w:highlight w:val="none"/>
                <w:lang w:bidi="ar"/>
              </w:rPr>
            </w:pPr>
            <w:r>
              <w:rPr>
                <w:rFonts w:hint="eastAsia" w:ascii="宋体" w:hAnsi="宋体" w:eastAsia="宋体" w:cs="宋体"/>
                <w:color w:val="000000" w:themeColor="text1"/>
                <w:sz w:val="24"/>
                <w:szCs w:val="24"/>
                <w:lang w:eastAsia="zh-CN"/>
                <w14:textFill>
                  <w14:solidFill>
                    <w14:schemeClr w14:val="tx1"/>
                  </w14:solidFill>
                </w14:textFill>
              </w:rPr>
              <w:t>(满分</w:t>
            </w:r>
            <w:r>
              <w:rPr>
                <w:rFonts w:hint="eastAsia" w:ascii="宋体" w:hAnsi="宋体" w:eastAsia="宋体" w:cs="宋体"/>
                <w:color w:val="000000" w:themeColor="text1"/>
                <w:sz w:val="24"/>
                <w:szCs w:val="24"/>
                <w:lang w:val="en-US" w:eastAsia="zh-CN"/>
                <w14:textFill>
                  <w14:solidFill>
                    <w14:schemeClr w14:val="tx1"/>
                  </w14:solidFill>
                </w14:textFill>
              </w:rPr>
              <w:t>30</w:t>
            </w:r>
            <w:r>
              <w:rPr>
                <w:rFonts w:hint="eastAsia" w:ascii="宋体" w:hAnsi="宋体" w:eastAsia="宋体" w:cs="宋体"/>
                <w:color w:val="000000" w:themeColor="text1"/>
                <w:sz w:val="24"/>
                <w:szCs w:val="24"/>
                <w:lang w:eastAsia="zh-CN"/>
                <w14:textFill>
                  <w14:solidFill>
                    <w14:schemeClr w14:val="tx1"/>
                  </w14:solidFill>
                </w14:textFill>
              </w:rPr>
              <w:t>分)</w:t>
            </w:r>
          </w:p>
        </w:tc>
        <w:tc>
          <w:tcPr>
            <w:tcW w:w="7329" w:type="dxa"/>
            <w:tcBorders>
              <w:tl2br w:val="nil"/>
              <w:tr2bl w:val="nil"/>
            </w:tcBorders>
            <w:shd w:val="clear" w:color="auto" w:fill="FFFFFF"/>
            <w:tcMar>
              <w:top w:w="10" w:type="dxa"/>
              <w:left w:w="10" w:type="dxa"/>
              <w:right w:w="10" w:type="dxa"/>
            </w:tcMar>
            <w:vAlign w:val="center"/>
          </w:tcPr>
          <w:p w14:paraId="3AE45375">
            <w:pPr>
              <w:pStyle w:val="12"/>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报价得分采用低价优先法计算（满分为</w:t>
            </w: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0分）。</w:t>
            </w:r>
          </w:p>
          <w:p w14:paraId="63275B88">
            <w:pPr>
              <w:pStyle w:val="12"/>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1.</w:t>
            </w:r>
            <w:r>
              <w:rPr>
                <w:rFonts w:hint="eastAsia" w:ascii="宋体" w:hAnsi="宋体" w:cs="宋体"/>
                <w:i w:val="0"/>
                <w:iCs w:val="0"/>
                <w:color w:val="auto"/>
                <w:sz w:val="24"/>
                <w:highlight w:val="none"/>
                <w:lang w:val="en-US" w:eastAsia="zh-CN"/>
              </w:rPr>
              <w:t>评标</w:t>
            </w:r>
            <w:r>
              <w:rPr>
                <w:rFonts w:hint="eastAsia" w:ascii="宋体" w:hAnsi="宋体" w:cs="宋体"/>
                <w:i w:val="0"/>
                <w:iCs w:val="0"/>
                <w:color w:val="auto"/>
                <w:sz w:val="24"/>
                <w:highlight w:val="none"/>
              </w:rPr>
              <w:t>基准价：满足</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要求且最终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报价最低的有效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响应报价；得分保留小数点后两位。</w:t>
            </w:r>
          </w:p>
          <w:p w14:paraId="1367E5C5">
            <w:pPr>
              <w:pStyle w:val="12"/>
              <w:widowControl w:val="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2.得分计算：满足</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要求且</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价格最低的有效</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响应报价，其报价分为满分。其他供应商的报价得分统一按照下列公式计算：</w:t>
            </w:r>
          </w:p>
          <w:p w14:paraId="538FF034">
            <w:pPr>
              <w:pStyle w:val="12"/>
              <w:widowControl w:val="0"/>
              <w:jc w:val="both"/>
              <w:rPr>
                <w:rFonts w:hint="eastAsia" w:ascii="宋体" w:hAnsi="宋体" w:eastAsia="宋体" w:cs="宋体"/>
                <w:color w:val="FF0000"/>
                <w:sz w:val="24"/>
                <w:szCs w:val="24"/>
                <w:lang w:val="en-US" w:eastAsia="zh-CN"/>
              </w:rPr>
            </w:pP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报价得分=(</w:t>
            </w:r>
            <w:r>
              <w:rPr>
                <w:rFonts w:hint="eastAsia" w:ascii="宋体" w:hAnsi="宋体" w:cs="宋体"/>
                <w:i w:val="0"/>
                <w:iCs w:val="0"/>
                <w:color w:val="auto"/>
                <w:sz w:val="24"/>
                <w:highlight w:val="none"/>
                <w:lang w:val="en-US" w:eastAsia="zh-CN"/>
              </w:rPr>
              <w:t>评标</w:t>
            </w:r>
            <w:r>
              <w:rPr>
                <w:rFonts w:hint="eastAsia" w:ascii="宋体" w:hAnsi="宋体" w:cs="宋体"/>
                <w:i w:val="0"/>
                <w:iCs w:val="0"/>
                <w:color w:val="auto"/>
                <w:sz w:val="24"/>
                <w:highlight w:val="none"/>
              </w:rPr>
              <w:t>基准价／</w:t>
            </w:r>
            <w:r>
              <w:rPr>
                <w:rFonts w:hint="eastAsia" w:ascii="宋体" w:hAnsi="宋体" w:cs="宋体"/>
                <w:i w:val="0"/>
                <w:iCs w:val="0"/>
                <w:color w:val="auto"/>
                <w:sz w:val="24"/>
                <w:highlight w:val="none"/>
                <w:lang w:eastAsia="zh-CN"/>
              </w:rPr>
              <w:t>投标</w:t>
            </w:r>
            <w:r>
              <w:rPr>
                <w:rFonts w:hint="eastAsia" w:ascii="宋体" w:hAnsi="宋体" w:cs="宋体"/>
                <w:i w:val="0"/>
                <w:iCs w:val="0"/>
                <w:color w:val="auto"/>
                <w:sz w:val="24"/>
                <w:highlight w:val="none"/>
              </w:rPr>
              <w:t>报价)×</w:t>
            </w:r>
            <w:r>
              <w:rPr>
                <w:rFonts w:hint="eastAsia" w:ascii="宋体" w:hAnsi="宋体" w:cs="宋体"/>
                <w:i w:val="0"/>
                <w:iCs w:val="0"/>
                <w:color w:val="auto"/>
                <w:sz w:val="24"/>
                <w:highlight w:val="none"/>
                <w:lang w:val="en-US" w:eastAsia="zh-CN"/>
              </w:rPr>
              <w:t>30。</w:t>
            </w:r>
          </w:p>
        </w:tc>
      </w:tr>
      <w:tr w14:paraId="7CD7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jc w:val="center"/>
        </w:trPr>
        <w:tc>
          <w:tcPr>
            <w:tcW w:w="1040" w:type="dxa"/>
            <w:vMerge w:val="restart"/>
            <w:tcBorders>
              <w:tl2br w:val="nil"/>
              <w:tr2bl w:val="nil"/>
            </w:tcBorders>
            <w:tcMar>
              <w:top w:w="10" w:type="dxa"/>
              <w:left w:w="10" w:type="dxa"/>
              <w:right w:w="10" w:type="dxa"/>
            </w:tcMar>
            <w:vAlign w:val="center"/>
          </w:tcPr>
          <w:p w14:paraId="6FED022B">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lang w:eastAsia="zh-CN"/>
              </w:rPr>
            </w:pPr>
            <w:r>
              <w:rPr>
                <w:rFonts w:hint="eastAsia" w:ascii="宋体" w:hAnsi="宋体" w:eastAsia="宋体" w:cs="宋体"/>
                <w:b/>
                <w:bCs/>
                <w:i w:val="0"/>
                <w:iCs w:val="0"/>
                <w:color w:val="auto"/>
                <w:sz w:val="24"/>
                <w:szCs w:val="24"/>
                <w:highlight w:val="none"/>
              </w:rPr>
              <w:t>技术部分</w:t>
            </w:r>
            <w:r>
              <w:rPr>
                <w:rFonts w:hint="eastAsia" w:ascii="宋体" w:hAnsi="宋体" w:eastAsia="宋体" w:cs="宋体"/>
                <w:b/>
                <w:bCs/>
                <w:i w:val="0"/>
                <w:iCs w:val="0"/>
                <w:color w:val="auto"/>
                <w:sz w:val="24"/>
                <w:szCs w:val="24"/>
                <w:highlight w:val="none"/>
                <w:lang w:eastAsia="zh-CN"/>
              </w:rPr>
              <w:t>（</w:t>
            </w:r>
            <w:r>
              <w:rPr>
                <w:rFonts w:hint="eastAsia" w:ascii="宋体" w:hAnsi="宋体" w:eastAsia="宋体" w:cs="宋体"/>
                <w:b/>
                <w:bCs/>
                <w:i w:val="0"/>
                <w:iCs w:val="0"/>
                <w:color w:val="auto"/>
                <w:sz w:val="24"/>
                <w:szCs w:val="24"/>
                <w:highlight w:val="none"/>
              </w:rPr>
              <w:t>满分</w:t>
            </w:r>
            <w:r>
              <w:rPr>
                <w:rFonts w:hint="eastAsia" w:ascii="宋体" w:hAnsi="宋体" w:eastAsia="宋体" w:cs="宋体"/>
                <w:b/>
                <w:bCs/>
                <w:i w:val="0"/>
                <w:iCs w:val="0"/>
                <w:color w:val="auto"/>
                <w:sz w:val="24"/>
                <w:szCs w:val="24"/>
                <w:highlight w:val="none"/>
                <w:lang w:val="en-US" w:eastAsia="zh-CN"/>
              </w:rPr>
              <w:t>70</w:t>
            </w:r>
            <w:r>
              <w:rPr>
                <w:rFonts w:hint="eastAsia" w:ascii="宋体" w:hAnsi="宋体" w:eastAsia="宋体" w:cs="宋体"/>
                <w:b/>
                <w:bCs/>
                <w:i w:val="0"/>
                <w:iCs w:val="0"/>
                <w:color w:val="auto"/>
                <w:sz w:val="24"/>
                <w:szCs w:val="24"/>
                <w:highlight w:val="none"/>
              </w:rPr>
              <w:t>分</w:t>
            </w:r>
            <w:r>
              <w:rPr>
                <w:rFonts w:hint="eastAsia" w:ascii="宋体" w:hAnsi="宋体" w:eastAsia="宋体" w:cs="宋体"/>
                <w:b/>
                <w:bCs/>
                <w:i w:val="0"/>
                <w:iCs w:val="0"/>
                <w:color w:val="auto"/>
                <w:sz w:val="24"/>
                <w:szCs w:val="24"/>
                <w:highlight w:val="none"/>
                <w:lang w:eastAsia="zh-CN"/>
              </w:rPr>
              <w:t>）</w:t>
            </w:r>
          </w:p>
        </w:tc>
        <w:tc>
          <w:tcPr>
            <w:tcW w:w="1339" w:type="dxa"/>
            <w:tcBorders>
              <w:tl2br w:val="nil"/>
              <w:tr2bl w:val="nil"/>
            </w:tcBorders>
            <w:tcMar>
              <w:top w:w="10" w:type="dxa"/>
              <w:left w:w="10" w:type="dxa"/>
              <w:right w:w="10" w:type="dxa"/>
            </w:tcMar>
            <w:vAlign w:val="center"/>
          </w:tcPr>
          <w:p w14:paraId="6C0A4BAE">
            <w:pPr>
              <w:keepNext w:val="0"/>
              <w:keepLines w:val="0"/>
              <w:pageBreakBefore w:val="0"/>
              <w:widowControl/>
              <w:kinsoku/>
              <w:wordWrap/>
              <w:overflowPunct/>
              <w:topLinePunct w:val="0"/>
              <w:autoSpaceDE/>
              <w:autoSpaceDN/>
              <w:bidi w:val="0"/>
              <w:adjustRightInd w:val="0"/>
              <w:snapToGrid w:val="0"/>
              <w:spacing w:line="360" w:lineRule="auto"/>
              <w:jc w:val="center"/>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技术参数（</w:t>
            </w:r>
            <w:r>
              <w:rPr>
                <w:rFonts w:hint="eastAsia" w:ascii="宋体" w:hAnsi="宋体" w:cs="宋体"/>
                <w:i w:val="0"/>
                <w:iCs w:val="0"/>
                <w:color w:val="auto"/>
                <w:sz w:val="24"/>
                <w:szCs w:val="24"/>
                <w:highlight w:val="none"/>
                <w:lang w:val="en-US" w:eastAsia="zh-CN"/>
              </w:rPr>
              <w:t>42</w:t>
            </w:r>
            <w:r>
              <w:rPr>
                <w:rFonts w:hint="eastAsia" w:ascii="宋体" w:hAnsi="宋体" w:eastAsia="宋体" w:cs="宋体"/>
                <w:i w:val="0"/>
                <w:iCs w:val="0"/>
                <w:color w:val="auto"/>
                <w:sz w:val="24"/>
                <w:szCs w:val="24"/>
                <w:highlight w:val="none"/>
                <w:lang w:val="en-US" w:eastAsia="zh-CN"/>
              </w:rPr>
              <w:t>分）</w:t>
            </w:r>
          </w:p>
        </w:tc>
        <w:tc>
          <w:tcPr>
            <w:tcW w:w="7329" w:type="dxa"/>
            <w:tcBorders>
              <w:tl2br w:val="nil"/>
              <w:tr2bl w:val="nil"/>
            </w:tcBorders>
            <w:tcMar>
              <w:top w:w="10" w:type="dxa"/>
              <w:left w:w="10" w:type="dxa"/>
              <w:right w:w="10" w:type="dxa"/>
            </w:tcMar>
          </w:tcPr>
          <w:p w14:paraId="7BD8349B">
            <w:pPr>
              <w:spacing w:line="360" w:lineRule="auto"/>
              <w:ind w:firstLine="480" w:firstLineChars="200"/>
              <w:rPr>
                <w:rFonts w:hint="eastAsia" w:ascii="宋体" w:hAnsi="宋体" w:eastAsia="宋体" w:cs="宋体"/>
                <w:i w:val="0"/>
                <w:iCs w:val="0"/>
                <w:color w:val="auto"/>
                <w:sz w:val="24"/>
                <w:szCs w:val="24"/>
                <w:highlight w:val="none"/>
              </w:rPr>
            </w:pPr>
            <w:bookmarkStart w:id="236" w:name="OLE_LINK17"/>
            <w:r>
              <w:rPr>
                <w:rFonts w:hint="eastAsia" w:ascii="宋体" w:hAnsi="宋体" w:eastAsia="宋体" w:cs="宋体"/>
                <w:i w:val="0"/>
                <w:iCs w:val="0"/>
                <w:color w:val="auto"/>
                <w:sz w:val="24"/>
                <w:szCs w:val="24"/>
                <w:highlight w:val="none"/>
              </w:rPr>
              <w:t>根据本项目</w:t>
            </w:r>
            <w:r>
              <w:rPr>
                <w:rFonts w:hint="eastAsia" w:ascii="宋体" w:hAnsi="宋体" w:cs="宋体"/>
                <w:i w:val="0"/>
                <w:iCs w:val="0"/>
                <w:color w:val="auto"/>
                <w:sz w:val="24"/>
                <w:szCs w:val="24"/>
                <w:highlight w:val="none"/>
                <w:lang w:eastAsia="zh-CN"/>
              </w:rPr>
              <w:t>招标</w:t>
            </w:r>
            <w:r>
              <w:rPr>
                <w:rFonts w:hint="eastAsia" w:ascii="宋体" w:hAnsi="宋体" w:eastAsia="宋体" w:cs="宋体"/>
                <w:i w:val="0"/>
                <w:iCs w:val="0"/>
                <w:color w:val="auto"/>
                <w:sz w:val="24"/>
                <w:szCs w:val="24"/>
                <w:highlight w:val="none"/>
              </w:rPr>
              <w:t>文件</w:t>
            </w:r>
            <w:r>
              <w:rPr>
                <w:rFonts w:hint="eastAsia"/>
                <w:b/>
                <w:bCs/>
                <w:color w:val="auto"/>
                <w:sz w:val="24"/>
                <w:highlight w:val="none"/>
                <w:lang w:eastAsia="zh-CN"/>
              </w:rPr>
              <w:t>第五章</w:t>
            </w:r>
            <w:r>
              <w:rPr>
                <w:rFonts w:hint="eastAsia" w:ascii="宋体" w:hAnsi="宋体" w:eastAsia="宋体" w:cs="宋体"/>
                <w:i w:val="0"/>
                <w:iCs w:val="0"/>
                <w:color w:val="auto"/>
                <w:sz w:val="24"/>
                <w:szCs w:val="24"/>
                <w:highlight w:val="none"/>
                <w:lang w:eastAsia="zh-CN"/>
              </w:rPr>
              <w:t>采购内容及要求</w:t>
            </w:r>
            <w:r>
              <w:rPr>
                <w:rFonts w:hint="eastAsia" w:ascii="宋体" w:hAnsi="宋体" w:eastAsia="宋体" w:cs="宋体"/>
                <w:i w:val="0"/>
                <w:iCs w:val="0"/>
                <w:color w:val="auto"/>
                <w:sz w:val="24"/>
                <w:szCs w:val="24"/>
                <w:highlight w:val="none"/>
              </w:rPr>
              <w:t>要求的响应情况进行评分，响应文件的技术参数响应必须与招标文件的技术参数逐条对应：</w:t>
            </w:r>
          </w:p>
          <w:p w14:paraId="754CB9C8">
            <w:pPr>
              <w:spacing w:line="360" w:lineRule="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 xml:space="preserve"> </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采购需求中标注</w:t>
            </w:r>
            <w:r>
              <w:rPr>
                <w:rFonts w:hint="eastAsia" w:ascii="宋体" w:hAnsi="宋体" w:eastAsia="宋体" w:cs="宋体"/>
                <w:i w:val="0"/>
                <w:iCs w:val="0"/>
                <w:color w:val="000000"/>
                <w:sz w:val="24"/>
                <w:szCs w:val="24"/>
                <w:highlight w:val="none"/>
              </w:rPr>
              <w:t>“</w:t>
            </w:r>
            <w:r>
              <w:rPr>
                <w:rFonts w:hint="eastAsia" w:ascii="宋体" w:hAnsi="宋体" w:eastAsia="宋体" w:cs="宋体"/>
                <w:color w:val="000000"/>
                <w:sz w:val="24"/>
                <w:szCs w:val="24"/>
                <w:highlight w:val="none"/>
                <w:u w:val="none"/>
                <w:lang w:eastAsia="zh-CN"/>
              </w:rPr>
              <w:t>★</w:t>
            </w:r>
            <w:r>
              <w:rPr>
                <w:rFonts w:hint="eastAsia" w:ascii="宋体" w:hAnsi="宋体" w:eastAsia="宋体" w:cs="宋体"/>
                <w:i w:val="0"/>
                <w:iCs w:val="0"/>
                <w:color w:val="000000"/>
                <w:sz w:val="24"/>
                <w:szCs w:val="24"/>
                <w:highlight w:val="none"/>
              </w:rPr>
              <w:t>”</w:t>
            </w:r>
            <w:r>
              <w:rPr>
                <w:rFonts w:hint="eastAsia" w:ascii="宋体" w:hAnsi="宋体" w:eastAsia="宋体" w:cs="宋体"/>
                <w:i w:val="0"/>
                <w:iCs w:val="0"/>
                <w:color w:val="auto"/>
                <w:sz w:val="24"/>
                <w:szCs w:val="24"/>
                <w:highlight w:val="none"/>
              </w:rPr>
              <w:t>为重要技术参数，不满足一项扣</w:t>
            </w:r>
            <w:r>
              <w:rPr>
                <w:rFonts w:hint="eastAsia" w:ascii="宋体" w:hAnsi="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分，其他参数不满足一项扣</w:t>
            </w:r>
            <w:r>
              <w:rPr>
                <w:rFonts w:hint="eastAsia" w:ascii="宋体" w:hAnsi="宋体" w:cs="宋体"/>
                <w:i w:val="0"/>
                <w:iCs w:val="0"/>
                <w:color w:val="auto"/>
                <w:sz w:val="24"/>
                <w:szCs w:val="24"/>
                <w:highlight w:val="none"/>
                <w:lang w:val="en-US" w:eastAsia="zh-CN"/>
              </w:rPr>
              <w:t>0.4</w:t>
            </w:r>
            <w:r>
              <w:rPr>
                <w:rFonts w:hint="eastAsia" w:ascii="宋体" w:hAnsi="宋体" w:eastAsia="宋体" w:cs="宋体"/>
                <w:i w:val="0"/>
                <w:iCs w:val="0"/>
                <w:color w:val="auto"/>
                <w:sz w:val="24"/>
                <w:szCs w:val="24"/>
                <w:highlight w:val="none"/>
              </w:rPr>
              <w:t>分，当</w:t>
            </w:r>
            <w:r>
              <w:rPr>
                <w:rFonts w:hint="eastAsia" w:ascii="宋体" w:hAnsi="宋体" w:eastAsia="宋体" w:cs="宋体"/>
                <w:i w:val="0"/>
                <w:iCs w:val="0"/>
                <w:color w:val="auto"/>
                <w:sz w:val="24"/>
                <w:szCs w:val="24"/>
                <w:highlight w:val="none"/>
                <w:lang w:eastAsia="zh-CN"/>
              </w:rPr>
              <w:t>重要</w:t>
            </w:r>
            <w:r>
              <w:rPr>
                <w:rFonts w:hint="eastAsia" w:ascii="宋体" w:hAnsi="宋体" w:eastAsia="宋体" w:cs="宋体"/>
                <w:i w:val="0"/>
                <w:iCs w:val="0"/>
                <w:color w:val="auto"/>
                <w:sz w:val="24"/>
                <w:szCs w:val="24"/>
                <w:highlight w:val="none"/>
              </w:rPr>
              <w:t>技术参数响应有</w:t>
            </w:r>
            <w:r>
              <w:rPr>
                <w:rFonts w:hint="eastAsia" w:ascii="宋体" w:hAnsi="宋体" w:eastAsia="宋体" w:cs="宋体"/>
                <w:i w:val="0"/>
                <w:iCs w:val="0"/>
                <w:color w:val="auto"/>
                <w:sz w:val="24"/>
                <w:szCs w:val="24"/>
                <w:highlight w:val="none"/>
                <w:lang w:val="en-US" w:eastAsia="zh-CN"/>
              </w:rPr>
              <w:t>3项及以上不满足招标文件或一般参数有7项及以上不满足招标文件要求，视为未实质性响应，其投标作无效处理。</w:t>
            </w:r>
          </w:p>
          <w:p w14:paraId="54F65A91">
            <w:pPr>
              <w:pStyle w:val="10"/>
              <w:keepNext w:val="0"/>
              <w:keepLines w:val="0"/>
              <w:pageBreakBefore w:val="0"/>
              <w:widowControl/>
              <w:kinsoku/>
              <w:wordWrap/>
              <w:overflowPunct/>
              <w:topLinePunct w:val="0"/>
              <w:autoSpaceDE/>
              <w:autoSpaceDN/>
              <w:bidi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投标文件中必须提供最新技术支持资料支持技术参数（包括投标产品技术白皮书或检测报告或图纸或印刷宣传彩页等，不接受投标人自行印刷、打印或者手写的技术支持资料，凡不符合上述要求的，视为无效技术支持资料），若投标文件中技术支持资料参数与技术规格偏离表应答不符或无支持资料应答，而投标人又未在投标文件中作出说明和解释的，视为不响应该条技术参数要求</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eastAsia="zh-CN"/>
              </w:rPr>
              <w:t>不实事求是填写技术规格偏离表或提供虚假支撑材料的，视为虚假应标，评标委员会将否决其投标</w:t>
            </w:r>
            <w:r>
              <w:rPr>
                <w:rFonts w:hint="eastAsia" w:ascii="宋体" w:hAnsi="宋体" w:eastAsia="宋体" w:cs="宋体"/>
                <w:i w:val="0"/>
                <w:iCs w:val="0"/>
                <w:color w:val="auto"/>
                <w:sz w:val="24"/>
                <w:szCs w:val="24"/>
                <w:highlight w:val="none"/>
              </w:rPr>
              <w:t>。</w:t>
            </w:r>
          </w:p>
          <w:p w14:paraId="3FBBB99F">
            <w:pPr>
              <w:pStyle w:val="10"/>
              <w:keepNext w:val="0"/>
              <w:keepLines w:val="0"/>
              <w:pageBreakBefore w:val="0"/>
              <w:widowControl/>
              <w:kinsoku/>
              <w:wordWrap/>
              <w:overflowPunct/>
              <w:topLinePunct w:val="0"/>
              <w:autoSpaceDE/>
              <w:autoSpaceDN/>
              <w:bidi w:val="0"/>
              <w:spacing w:line="360" w:lineRule="auto"/>
              <w:rPr>
                <w:rFonts w:hint="eastAsia" w:ascii="宋体" w:hAnsi="宋体" w:eastAsia="宋体" w:cs="宋体"/>
                <w:i w:val="0"/>
                <w:iCs w:val="0"/>
                <w:color w:val="auto"/>
                <w:sz w:val="24"/>
                <w:szCs w:val="24"/>
                <w:highlight w:val="none"/>
              </w:rPr>
            </w:pPr>
            <w:r>
              <w:rPr>
                <w:rFonts w:hint="eastAsia"/>
                <w:b/>
                <w:bCs/>
                <w:color w:val="auto"/>
                <w:sz w:val="24"/>
                <w:highlight w:val="none"/>
              </w:rPr>
              <w:t>注：此项内容评审参照</w:t>
            </w:r>
            <w:r>
              <w:rPr>
                <w:rFonts w:hint="eastAsia"/>
                <w:b/>
                <w:bCs/>
                <w:color w:val="auto"/>
                <w:sz w:val="24"/>
                <w:highlight w:val="none"/>
                <w:lang w:eastAsia="zh-CN"/>
              </w:rPr>
              <w:t>招标文件第五章 《采购内容及技术</w:t>
            </w:r>
            <w:r>
              <w:rPr>
                <w:rFonts w:hint="eastAsia"/>
                <w:b/>
                <w:bCs/>
                <w:color w:val="auto"/>
                <w:sz w:val="24"/>
                <w:highlight w:val="none"/>
              </w:rPr>
              <w:t>要求</w:t>
            </w:r>
            <w:r>
              <w:rPr>
                <w:rFonts w:hint="eastAsia"/>
                <w:b/>
                <w:bCs/>
                <w:color w:val="auto"/>
                <w:sz w:val="24"/>
                <w:highlight w:val="none"/>
                <w:lang w:eastAsia="zh-CN"/>
              </w:rPr>
              <w:t>》</w:t>
            </w:r>
            <w:r>
              <w:rPr>
                <w:rFonts w:hint="eastAsia"/>
                <w:b/>
                <w:bCs/>
                <w:color w:val="auto"/>
                <w:sz w:val="24"/>
                <w:highlight w:val="none"/>
              </w:rPr>
              <w:t>提供相关证明材料，未提供相关证明材料的，此项内容评审不得分</w:t>
            </w:r>
            <w:r>
              <w:rPr>
                <w:rFonts w:hint="eastAsia"/>
                <w:b/>
                <w:bCs/>
                <w:color w:val="auto"/>
                <w:sz w:val="24"/>
                <w:highlight w:val="none"/>
                <w:lang w:eastAsia="zh-CN"/>
              </w:rPr>
              <w:t>。</w:t>
            </w:r>
            <w:bookmarkEnd w:id="236"/>
          </w:p>
        </w:tc>
      </w:tr>
      <w:tr w14:paraId="03B9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atLeast"/>
          <w:jc w:val="center"/>
        </w:trPr>
        <w:tc>
          <w:tcPr>
            <w:tcW w:w="1040" w:type="dxa"/>
            <w:vMerge w:val="continue"/>
            <w:tcBorders>
              <w:tl2br w:val="nil"/>
              <w:tr2bl w:val="nil"/>
            </w:tcBorders>
            <w:tcMar>
              <w:top w:w="10" w:type="dxa"/>
              <w:left w:w="10" w:type="dxa"/>
              <w:right w:w="10" w:type="dxa"/>
            </w:tcMar>
            <w:vAlign w:val="center"/>
          </w:tcPr>
          <w:p w14:paraId="16322B0E">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60694A4F">
            <w:pPr>
              <w:keepNext w:val="0"/>
              <w:keepLines w:val="0"/>
              <w:pageBreakBefore w:val="0"/>
              <w:widowControl/>
              <w:kinsoku/>
              <w:wordWrap/>
              <w:overflowPunct/>
              <w:topLinePunct w:val="0"/>
              <w:autoSpaceDE/>
              <w:autoSpaceDN/>
              <w:bidi w:val="0"/>
              <w:adjustRightInd w:val="0"/>
              <w:snapToGrid w:val="0"/>
              <w:spacing w:line="360" w:lineRule="auto"/>
              <w:jc w:val="center"/>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项目实施及技术培训方案评审（1</w:t>
            </w:r>
            <w:r>
              <w:rPr>
                <w:rFonts w:hint="eastAsia" w:ascii="宋体" w:hAnsi="宋体" w:cs="宋体"/>
                <w:color w:val="000000"/>
                <w:sz w:val="24"/>
                <w:szCs w:val="24"/>
                <w:highlight w:val="none"/>
                <w:lang w:val="en-US" w:eastAsia="zh-CN" w:bidi="ar-SA"/>
              </w:rPr>
              <w:t>2</w:t>
            </w:r>
            <w:r>
              <w:rPr>
                <w:rFonts w:hint="eastAsia" w:ascii="宋体" w:hAnsi="宋体" w:eastAsia="宋体" w:cs="宋体"/>
                <w:color w:val="000000"/>
                <w:sz w:val="24"/>
                <w:szCs w:val="24"/>
                <w:highlight w:val="none"/>
                <w:lang w:val="en-US" w:eastAsia="zh-CN" w:bidi="ar-SA"/>
              </w:rPr>
              <w:t>分）</w:t>
            </w:r>
          </w:p>
        </w:tc>
        <w:tc>
          <w:tcPr>
            <w:tcW w:w="7329" w:type="dxa"/>
            <w:tcBorders>
              <w:tl2br w:val="nil"/>
              <w:tr2bl w:val="nil"/>
            </w:tcBorders>
            <w:tcMar>
              <w:top w:w="10" w:type="dxa"/>
              <w:left w:w="10" w:type="dxa"/>
              <w:right w:w="10" w:type="dxa"/>
            </w:tcMar>
            <w:vAlign w:val="top"/>
          </w:tcPr>
          <w:p w14:paraId="75885619">
            <w:pPr>
              <w:keepNext w:val="0"/>
              <w:keepLines w:val="0"/>
              <w:pageBreakBefore w:val="0"/>
              <w:widowControl/>
              <w:kinsoku/>
              <w:wordWrap/>
              <w:overflowPunct/>
              <w:topLinePunct w:val="0"/>
              <w:autoSpaceDE/>
              <w:autoSpaceDN/>
              <w:bidi w:val="0"/>
              <w:spacing w:before="60" w:after="60" w:line="360" w:lineRule="auto"/>
              <w:rPr>
                <w:rFonts w:hint="eastAsia" w:ascii="宋体" w:hAnsi="宋体" w:eastAsia="宋体" w:cs="宋体"/>
                <w:b/>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）实施方案</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含</w:t>
            </w:r>
            <w:r>
              <w:rPr>
                <w:rFonts w:hint="eastAsia" w:ascii="宋体" w:hAnsi="宋体" w:eastAsia="宋体" w:cs="宋体"/>
                <w:bCs/>
                <w:color w:val="000000"/>
                <w:sz w:val="24"/>
                <w:szCs w:val="24"/>
                <w:highlight w:val="none"/>
              </w:rPr>
              <w:t>交货方案及时间进度计划</w:t>
            </w:r>
            <w:r>
              <w:rPr>
                <w:rFonts w:hint="eastAsia" w:ascii="宋体" w:hAnsi="宋体" w:eastAsia="宋体" w:cs="宋体"/>
                <w:bCs/>
                <w:color w:val="000000"/>
                <w:sz w:val="24"/>
                <w:szCs w:val="24"/>
                <w:highlight w:val="none"/>
                <w:lang w:val="en-US" w:eastAsia="zh-CN"/>
              </w:rPr>
              <w:t>等</w:t>
            </w:r>
            <w:r>
              <w:rPr>
                <w:rFonts w:hint="eastAsia" w:ascii="宋体" w:hAnsi="宋体" w:cs="宋体"/>
                <w:color w:val="000000"/>
                <w:sz w:val="24"/>
                <w:szCs w:val="24"/>
                <w:lang w:eastAsia="zh-CN"/>
              </w:rPr>
              <w:t>）</w:t>
            </w:r>
            <w:r>
              <w:rPr>
                <w:rFonts w:hint="eastAsia" w:ascii="宋体" w:hAnsi="宋体" w:eastAsia="宋体" w:cs="宋体"/>
                <w:color w:val="000000"/>
                <w:sz w:val="24"/>
                <w:szCs w:val="24"/>
              </w:rPr>
              <w:t>内容全面、充分理解项目需求、思路清晰，方案科学、详细、操作性、针对性、适用性强的，得</w:t>
            </w:r>
            <w:r>
              <w:rPr>
                <w:rFonts w:hint="eastAsia" w:ascii="宋体" w:hAnsi="宋体" w:cs="宋体"/>
                <w:color w:val="000000"/>
                <w:sz w:val="24"/>
                <w:szCs w:val="24"/>
                <w:lang w:val="en-US" w:eastAsia="zh-CN"/>
              </w:rPr>
              <w:t>10</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1</w:t>
            </w: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分；</w:t>
            </w:r>
          </w:p>
          <w:p w14:paraId="661CCECC">
            <w:pPr>
              <w:keepNext w:val="0"/>
              <w:keepLines w:val="0"/>
              <w:pageBreakBefore w:val="0"/>
              <w:widowControl/>
              <w:kinsoku/>
              <w:wordWrap/>
              <w:overflowPunct/>
              <w:topLinePunct w:val="0"/>
              <w:autoSpaceDE/>
              <w:autoSpaceDN/>
              <w:bidi w:val="0"/>
              <w:spacing w:before="60" w:after="6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（2）实施方案内容</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含</w:t>
            </w:r>
            <w:r>
              <w:rPr>
                <w:rFonts w:hint="eastAsia" w:ascii="宋体" w:hAnsi="宋体" w:eastAsia="宋体" w:cs="宋体"/>
                <w:bCs/>
                <w:color w:val="000000"/>
                <w:sz w:val="24"/>
                <w:szCs w:val="24"/>
                <w:highlight w:val="none"/>
              </w:rPr>
              <w:t>交货方案及时间进度计划</w:t>
            </w:r>
            <w:r>
              <w:rPr>
                <w:rFonts w:hint="eastAsia" w:ascii="宋体" w:hAnsi="宋体" w:eastAsia="宋体" w:cs="宋体"/>
                <w:bCs/>
                <w:color w:val="000000"/>
                <w:sz w:val="24"/>
                <w:szCs w:val="24"/>
                <w:highlight w:val="none"/>
                <w:lang w:val="en-US" w:eastAsia="zh-CN"/>
              </w:rPr>
              <w:t>等</w:t>
            </w:r>
            <w:r>
              <w:rPr>
                <w:rFonts w:hint="eastAsia" w:ascii="宋体" w:hAnsi="宋体" w:cs="宋体"/>
                <w:color w:val="000000"/>
                <w:sz w:val="24"/>
                <w:szCs w:val="24"/>
                <w:lang w:eastAsia="zh-CN"/>
              </w:rPr>
              <w:t>）</w:t>
            </w:r>
            <w:r>
              <w:rPr>
                <w:rFonts w:hint="eastAsia" w:ascii="宋体" w:hAnsi="宋体" w:eastAsia="宋体" w:cs="宋体"/>
                <w:color w:val="000000"/>
                <w:sz w:val="24"/>
                <w:szCs w:val="24"/>
              </w:rPr>
              <w:t>基本全面、理解项目需求、思路清晰，方案可行、操作性、针对性、适用性一般的，得</w:t>
            </w:r>
            <w:r>
              <w:rPr>
                <w:rFonts w:hint="eastAsia" w:ascii="宋体" w:hAnsi="宋体" w:cs="宋体"/>
                <w:color w:val="000000"/>
                <w:sz w:val="24"/>
                <w:szCs w:val="24"/>
                <w:lang w:val="en-US" w:eastAsia="zh-CN"/>
              </w:rPr>
              <w:t>7</w:t>
            </w: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9</w:t>
            </w:r>
            <w:r>
              <w:rPr>
                <w:rFonts w:hint="eastAsia" w:ascii="宋体" w:hAnsi="宋体" w:eastAsia="宋体" w:cs="宋体"/>
                <w:color w:val="000000"/>
                <w:sz w:val="24"/>
                <w:szCs w:val="24"/>
              </w:rPr>
              <w:t>分；</w:t>
            </w:r>
          </w:p>
          <w:p w14:paraId="4359F394">
            <w:pPr>
              <w:keepNext w:val="0"/>
              <w:keepLines w:val="0"/>
              <w:pageBreakBefore w:val="0"/>
              <w:widowControl/>
              <w:kinsoku/>
              <w:wordWrap/>
              <w:overflowPunct/>
              <w:topLinePunct w:val="0"/>
              <w:autoSpaceDE/>
              <w:autoSpaceDN/>
              <w:bidi w:val="0"/>
              <w:spacing w:before="60" w:after="60" w:line="360" w:lineRule="auto"/>
              <w:rPr>
                <w:rFonts w:hint="eastAsia" w:ascii="宋体" w:hAnsi="宋体" w:eastAsia="宋体" w:cs="宋体"/>
                <w:b/>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）实施方案内容</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含</w:t>
            </w:r>
            <w:r>
              <w:rPr>
                <w:rFonts w:hint="eastAsia" w:ascii="宋体" w:hAnsi="宋体" w:eastAsia="宋体" w:cs="宋体"/>
                <w:bCs/>
                <w:color w:val="000000"/>
                <w:sz w:val="24"/>
                <w:szCs w:val="24"/>
                <w:highlight w:val="none"/>
              </w:rPr>
              <w:t>交货方案及时间进度计划</w:t>
            </w:r>
            <w:r>
              <w:rPr>
                <w:rFonts w:hint="eastAsia" w:ascii="宋体" w:hAnsi="宋体" w:eastAsia="宋体" w:cs="宋体"/>
                <w:bCs/>
                <w:color w:val="000000"/>
                <w:sz w:val="24"/>
                <w:szCs w:val="24"/>
                <w:highlight w:val="none"/>
                <w:lang w:val="en-US" w:eastAsia="zh-CN"/>
              </w:rPr>
              <w:t>等</w:t>
            </w:r>
            <w:r>
              <w:rPr>
                <w:rFonts w:hint="eastAsia" w:ascii="宋体" w:hAnsi="宋体" w:cs="宋体"/>
                <w:color w:val="000000"/>
                <w:sz w:val="24"/>
                <w:szCs w:val="24"/>
                <w:lang w:eastAsia="zh-CN"/>
              </w:rPr>
              <w:t>）</w:t>
            </w:r>
            <w:r>
              <w:rPr>
                <w:rFonts w:hint="eastAsia" w:ascii="宋体" w:hAnsi="宋体" w:eastAsia="宋体" w:cs="宋体"/>
                <w:color w:val="000000"/>
                <w:sz w:val="24"/>
                <w:szCs w:val="24"/>
                <w:lang w:val="en-US" w:eastAsia="zh-CN"/>
              </w:rPr>
              <w:t>欠佳</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基本</w:t>
            </w:r>
            <w:r>
              <w:rPr>
                <w:rFonts w:hint="eastAsia" w:ascii="宋体" w:hAnsi="宋体" w:eastAsia="宋体" w:cs="宋体"/>
                <w:color w:val="000000"/>
                <w:sz w:val="24"/>
                <w:szCs w:val="24"/>
              </w:rPr>
              <w:t>理解项目需求、思路</w:t>
            </w:r>
            <w:r>
              <w:rPr>
                <w:rFonts w:hint="eastAsia" w:ascii="宋体" w:hAnsi="宋体" w:eastAsia="宋体" w:cs="宋体"/>
                <w:color w:val="000000"/>
                <w:sz w:val="24"/>
                <w:szCs w:val="24"/>
                <w:lang w:val="en-US" w:eastAsia="zh-CN"/>
              </w:rPr>
              <w:t>基本</w:t>
            </w:r>
            <w:r>
              <w:rPr>
                <w:rFonts w:hint="eastAsia" w:ascii="宋体" w:hAnsi="宋体" w:eastAsia="宋体" w:cs="宋体"/>
                <w:color w:val="000000"/>
                <w:sz w:val="24"/>
                <w:szCs w:val="24"/>
              </w:rPr>
              <w:t>清晰，方案</w:t>
            </w:r>
            <w:r>
              <w:rPr>
                <w:rFonts w:hint="eastAsia" w:ascii="宋体" w:hAnsi="宋体" w:eastAsia="宋体" w:cs="宋体"/>
                <w:color w:val="000000"/>
                <w:sz w:val="24"/>
                <w:szCs w:val="24"/>
                <w:lang w:val="en-US" w:eastAsia="zh-CN"/>
              </w:rPr>
              <w:t>缺乏</w:t>
            </w:r>
            <w:r>
              <w:rPr>
                <w:rFonts w:hint="eastAsia" w:ascii="宋体" w:hAnsi="宋体" w:eastAsia="宋体" w:cs="宋体"/>
                <w:color w:val="000000"/>
                <w:sz w:val="24"/>
                <w:szCs w:val="24"/>
              </w:rPr>
              <w:t>操作性、针对性、适用性的，得</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w:t>
            </w: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分；</w:t>
            </w:r>
          </w:p>
          <w:p w14:paraId="5A9E57FA">
            <w:pPr>
              <w:keepNext w:val="0"/>
              <w:keepLines w:val="0"/>
              <w:pageBreakBefore w:val="0"/>
              <w:widowControl/>
              <w:kinsoku/>
              <w:wordWrap/>
              <w:overflowPunct/>
              <w:topLinePunct w:val="0"/>
              <w:autoSpaceDE/>
              <w:autoSpaceDN/>
              <w:bidi w:val="0"/>
              <w:spacing w:before="60" w:after="60"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）实施方案内容</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含</w:t>
            </w:r>
            <w:r>
              <w:rPr>
                <w:rFonts w:hint="eastAsia" w:ascii="宋体" w:hAnsi="宋体" w:eastAsia="宋体" w:cs="宋体"/>
                <w:bCs/>
                <w:color w:val="000000"/>
                <w:sz w:val="24"/>
                <w:szCs w:val="24"/>
                <w:highlight w:val="none"/>
              </w:rPr>
              <w:t>交货方案及时间进度计划</w:t>
            </w:r>
            <w:r>
              <w:rPr>
                <w:rFonts w:hint="eastAsia" w:ascii="宋体" w:hAnsi="宋体" w:eastAsia="宋体" w:cs="宋体"/>
                <w:bCs/>
                <w:color w:val="000000"/>
                <w:sz w:val="24"/>
                <w:szCs w:val="24"/>
                <w:highlight w:val="none"/>
                <w:lang w:val="en-US" w:eastAsia="zh-CN"/>
              </w:rPr>
              <w:t>等</w:t>
            </w:r>
            <w:r>
              <w:rPr>
                <w:rFonts w:hint="eastAsia" w:ascii="宋体" w:hAnsi="宋体" w:cs="宋体"/>
                <w:color w:val="000000"/>
                <w:sz w:val="24"/>
                <w:szCs w:val="24"/>
                <w:lang w:eastAsia="zh-CN"/>
              </w:rPr>
              <w:t>）</w:t>
            </w:r>
            <w:r>
              <w:rPr>
                <w:rFonts w:hint="eastAsia" w:ascii="宋体" w:hAnsi="宋体" w:eastAsia="宋体" w:cs="宋体"/>
                <w:color w:val="000000"/>
                <w:sz w:val="24"/>
                <w:szCs w:val="24"/>
              </w:rPr>
              <w:t>不全面、</w:t>
            </w:r>
            <w:r>
              <w:rPr>
                <w:rFonts w:hint="eastAsia" w:ascii="宋体" w:hAnsi="宋体" w:eastAsia="宋体" w:cs="宋体"/>
                <w:color w:val="000000"/>
                <w:sz w:val="24"/>
                <w:szCs w:val="24"/>
                <w:lang w:val="en-US" w:eastAsia="zh-CN"/>
              </w:rPr>
              <w:t>不</w:t>
            </w:r>
            <w:r>
              <w:rPr>
                <w:rFonts w:hint="eastAsia" w:ascii="宋体" w:hAnsi="宋体" w:eastAsia="宋体" w:cs="宋体"/>
                <w:color w:val="000000"/>
                <w:sz w:val="24"/>
                <w:szCs w:val="24"/>
              </w:rPr>
              <w:t>理解项目需求、思路</w:t>
            </w:r>
            <w:r>
              <w:rPr>
                <w:rFonts w:hint="eastAsia" w:ascii="宋体" w:hAnsi="宋体" w:eastAsia="宋体" w:cs="宋体"/>
                <w:color w:val="000000"/>
                <w:sz w:val="24"/>
                <w:szCs w:val="24"/>
                <w:lang w:val="en-US" w:eastAsia="zh-CN"/>
              </w:rPr>
              <w:t>不</w:t>
            </w:r>
            <w:r>
              <w:rPr>
                <w:rFonts w:hint="eastAsia" w:ascii="宋体" w:hAnsi="宋体" w:eastAsia="宋体" w:cs="宋体"/>
                <w:color w:val="000000"/>
                <w:sz w:val="24"/>
                <w:szCs w:val="24"/>
              </w:rPr>
              <w:t>清晰，方案</w:t>
            </w:r>
            <w:r>
              <w:rPr>
                <w:rFonts w:hint="eastAsia" w:ascii="宋体" w:hAnsi="宋体" w:eastAsia="宋体" w:cs="宋体"/>
                <w:color w:val="000000"/>
                <w:sz w:val="24"/>
                <w:szCs w:val="24"/>
                <w:lang w:val="en-US" w:eastAsia="zh-CN"/>
              </w:rPr>
              <w:t>无</w:t>
            </w:r>
            <w:r>
              <w:rPr>
                <w:rFonts w:hint="eastAsia" w:ascii="宋体" w:hAnsi="宋体" w:eastAsia="宋体" w:cs="宋体"/>
                <w:color w:val="000000"/>
                <w:sz w:val="24"/>
                <w:szCs w:val="24"/>
              </w:rPr>
              <w:t>操作性、针对性、适用性的，得1～</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分。</w:t>
            </w:r>
          </w:p>
          <w:p w14:paraId="1C55DEB8">
            <w:pPr>
              <w:pStyle w:val="10"/>
              <w:keepNext w:val="0"/>
              <w:keepLines w:val="0"/>
              <w:pageBreakBefore w:val="0"/>
              <w:widowControl/>
              <w:kinsoku/>
              <w:wordWrap/>
              <w:overflowPunct/>
              <w:topLinePunct w:val="0"/>
              <w:autoSpaceDE/>
              <w:autoSpaceDN/>
              <w:bidi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）未提供实施方案的，不得分。</w:t>
            </w:r>
          </w:p>
        </w:tc>
      </w:tr>
      <w:tr w14:paraId="52FF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jc w:val="center"/>
        </w:trPr>
        <w:tc>
          <w:tcPr>
            <w:tcW w:w="1040" w:type="dxa"/>
            <w:vMerge w:val="continue"/>
            <w:tcBorders>
              <w:tl2br w:val="nil"/>
              <w:tr2bl w:val="nil"/>
            </w:tcBorders>
            <w:tcMar>
              <w:top w:w="10" w:type="dxa"/>
              <w:left w:w="10" w:type="dxa"/>
              <w:right w:w="10" w:type="dxa"/>
            </w:tcMar>
            <w:vAlign w:val="center"/>
          </w:tcPr>
          <w:p w14:paraId="25CC6F69">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16A15308">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质量承诺及保证措施</w:t>
            </w:r>
          </w:p>
          <w:p w14:paraId="501EDFBC">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1</w:t>
            </w:r>
            <w:r>
              <w:rPr>
                <w:rFonts w:hint="eastAsia" w:ascii="宋体" w:hAnsi="宋体" w:cs="宋体"/>
                <w:color w:val="000000"/>
                <w:sz w:val="24"/>
                <w:szCs w:val="24"/>
                <w:highlight w:val="none"/>
                <w:lang w:val="en-US" w:eastAsia="zh-CN"/>
              </w:rPr>
              <w:t>0</w:t>
            </w:r>
            <w:r>
              <w:rPr>
                <w:rFonts w:hint="eastAsia" w:ascii="宋体" w:hAnsi="宋体" w:eastAsia="宋体" w:cs="宋体"/>
                <w:color w:val="000000"/>
                <w:sz w:val="24"/>
                <w:szCs w:val="24"/>
                <w:highlight w:val="none"/>
                <w:lang w:val="en-US" w:eastAsia="zh-CN"/>
              </w:rPr>
              <w:t>分</w:t>
            </w:r>
            <w:r>
              <w:rPr>
                <w:rFonts w:hint="eastAsia" w:ascii="宋体" w:hAnsi="宋体" w:eastAsia="宋体" w:cs="宋体"/>
                <w:color w:val="000000"/>
                <w:sz w:val="24"/>
                <w:szCs w:val="24"/>
                <w:highlight w:val="none"/>
                <w:lang w:eastAsia="zh-CN"/>
              </w:rPr>
              <w:t>）</w:t>
            </w:r>
          </w:p>
        </w:tc>
        <w:tc>
          <w:tcPr>
            <w:tcW w:w="7329" w:type="dxa"/>
            <w:tcBorders>
              <w:tl2br w:val="nil"/>
              <w:tr2bl w:val="nil"/>
            </w:tcBorders>
            <w:tcMar>
              <w:top w:w="10" w:type="dxa"/>
              <w:left w:w="10" w:type="dxa"/>
              <w:right w:w="10" w:type="dxa"/>
            </w:tcMar>
            <w:vAlign w:val="center"/>
          </w:tcPr>
          <w:p w14:paraId="307687C6">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内容详细、具体、科学、合理可行，针对性强，能切实解决货物使用时可能发生的问题的</w:t>
            </w:r>
            <w:r>
              <w:rPr>
                <w:rFonts w:hint="eastAsia" w:ascii="宋体" w:hAnsi="宋体" w:cs="宋体"/>
                <w:bCs/>
                <w:color w:val="000000"/>
                <w:sz w:val="24"/>
                <w:szCs w:val="24"/>
                <w:highlight w:val="none"/>
                <w:lang w:val="en-US" w:eastAsia="zh-CN"/>
              </w:rPr>
              <w:t>的得8</w:t>
            </w:r>
            <w:r>
              <w:rPr>
                <w:rFonts w:hint="eastAsia" w:ascii="宋体" w:hAnsi="宋体" w:eastAsia="宋体" w:cs="宋体"/>
                <w:bCs/>
                <w:color w:val="000000"/>
                <w:sz w:val="24"/>
                <w:szCs w:val="24"/>
                <w:highlight w:val="none"/>
              </w:rPr>
              <w:t>～1</w:t>
            </w:r>
            <w:r>
              <w:rPr>
                <w:rFonts w:hint="eastAsia" w:ascii="宋体" w:hAnsi="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分</w:t>
            </w:r>
          </w:p>
          <w:p w14:paraId="45C40F91">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内容合理可行，但是不具体、缺乏针对性，基本能解决货物使用时可能发生的问题的</w:t>
            </w:r>
            <w:r>
              <w:rPr>
                <w:rFonts w:hint="eastAsia" w:ascii="宋体" w:hAnsi="宋体" w:cs="宋体"/>
                <w:bCs/>
                <w:color w:val="000000"/>
                <w:sz w:val="24"/>
                <w:szCs w:val="24"/>
                <w:highlight w:val="none"/>
                <w:lang w:val="en-US" w:eastAsia="zh-CN"/>
              </w:rPr>
              <w:t>的得5</w:t>
            </w:r>
            <w:r>
              <w:rPr>
                <w:rFonts w:hint="eastAsia" w:ascii="宋体" w:hAnsi="宋体" w:eastAsia="宋体" w:cs="宋体"/>
                <w:bCs/>
                <w:color w:val="000000"/>
                <w:sz w:val="24"/>
                <w:szCs w:val="24"/>
                <w:highlight w:val="none"/>
              </w:rPr>
              <w:t>～</w:t>
            </w:r>
            <w:r>
              <w:rPr>
                <w:rFonts w:hint="eastAsia" w:ascii="宋体" w:hAnsi="宋体" w:cs="宋体"/>
                <w:bCs/>
                <w:color w:val="000000"/>
                <w:sz w:val="24"/>
                <w:szCs w:val="24"/>
                <w:highlight w:val="none"/>
                <w:lang w:val="en-US" w:eastAsia="zh-CN"/>
              </w:rPr>
              <w:t>7</w:t>
            </w:r>
            <w:r>
              <w:rPr>
                <w:rFonts w:hint="eastAsia" w:ascii="宋体" w:hAnsi="宋体" w:eastAsia="宋体" w:cs="宋体"/>
                <w:bCs/>
                <w:color w:val="000000"/>
                <w:sz w:val="24"/>
                <w:szCs w:val="24"/>
                <w:highlight w:val="none"/>
              </w:rPr>
              <w:t>分</w:t>
            </w:r>
          </w:p>
          <w:p w14:paraId="52EFAF49">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w:t>
            </w:r>
            <w:r>
              <w:rPr>
                <w:rFonts w:hint="eastAsia" w:ascii="宋体" w:hAnsi="宋体" w:eastAsia="宋体" w:cs="宋体"/>
                <w:bCs/>
                <w:color w:val="000000"/>
                <w:sz w:val="24"/>
                <w:szCs w:val="24"/>
                <w:highlight w:val="none"/>
                <w:lang w:val="en-US" w:eastAsia="zh-CN"/>
              </w:rPr>
              <w:t>不完整</w:t>
            </w:r>
            <w:r>
              <w:rPr>
                <w:rFonts w:hint="eastAsia" w:ascii="宋体" w:hAnsi="宋体" w:eastAsia="宋体" w:cs="宋体"/>
                <w:bCs/>
                <w:color w:val="000000"/>
                <w:sz w:val="24"/>
                <w:szCs w:val="24"/>
                <w:highlight w:val="none"/>
              </w:rPr>
              <w:t>、不具体，无针对性，</w:t>
            </w:r>
            <w:r>
              <w:rPr>
                <w:rFonts w:hint="eastAsia" w:ascii="宋体" w:hAnsi="宋体" w:eastAsia="宋体" w:cs="宋体"/>
                <w:bCs/>
                <w:color w:val="000000"/>
                <w:sz w:val="24"/>
                <w:szCs w:val="24"/>
                <w:highlight w:val="none"/>
                <w:lang w:val="en-US" w:eastAsia="zh-CN"/>
              </w:rPr>
              <w:t>难以</w:t>
            </w:r>
            <w:r>
              <w:rPr>
                <w:rFonts w:hint="eastAsia" w:ascii="宋体" w:hAnsi="宋体" w:eastAsia="宋体" w:cs="宋体"/>
                <w:bCs/>
                <w:color w:val="000000"/>
                <w:sz w:val="24"/>
                <w:szCs w:val="24"/>
                <w:highlight w:val="none"/>
              </w:rPr>
              <w:t>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w:t>
            </w:r>
            <w:r>
              <w:rPr>
                <w:rFonts w:hint="eastAsia" w:ascii="宋体" w:hAnsi="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分</w:t>
            </w:r>
          </w:p>
          <w:p w14:paraId="3B566B73">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lang w:eastAsia="zh-CN"/>
              </w:rPr>
              <w:t>）质量承诺及保证措施</w:t>
            </w:r>
            <w:r>
              <w:rPr>
                <w:rFonts w:hint="eastAsia" w:ascii="宋体" w:hAnsi="宋体" w:eastAsia="宋体" w:cs="宋体"/>
                <w:bCs/>
                <w:color w:val="000000"/>
                <w:sz w:val="24"/>
                <w:szCs w:val="24"/>
                <w:highlight w:val="none"/>
              </w:rPr>
              <w:t>内容粗略的</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不</w:t>
            </w:r>
            <w:r>
              <w:rPr>
                <w:rFonts w:hint="eastAsia" w:ascii="宋体" w:hAnsi="宋体" w:eastAsia="宋体" w:cs="宋体"/>
                <w:bCs/>
                <w:color w:val="000000"/>
                <w:sz w:val="24"/>
                <w:szCs w:val="24"/>
                <w:highlight w:val="none"/>
              </w:rPr>
              <w:t>能解决货物使用时可能发生的问题的</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rPr>
              <w:t>分</w:t>
            </w:r>
          </w:p>
        </w:tc>
      </w:tr>
      <w:tr w14:paraId="262A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atLeast"/>
          <w:jc w:val="center"/>
        </w:trPr>
        <w:tc>
          <w:tcPr>
            <w:tcW w:w="1040" w:type="dxa"/>
            <w:vMerge w:val="continue"/>
            <w:tcBorders>
              <w:tl2br w:val="nil"/>
              <w:tr2bl w:val="nil"/>
            </w:tcBorders>
            <w:tcMar>
              <w:top w:w="10" w:type="dxa"/>
              <w:left w:w="10" w:type="dxa"/>
              <w:right w:w="10" w:type="dxa"/>
            </w:tcMar>
            <w:vAlign w:val="center"/>
          </w:tcPr>
          <w:p w14:paraId="43B803F2">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
                <w:bCs/>
                <w:i w:val="0"/>
                <w:iCs w:val="0"/>
                <w:color w:val="auto"/>
                <w:sz w:val="24"/>
                <w:szCs w:val="24"/>
                <w:highlight w:val="none"/>
              </w:rPr>
            </w:pPr>
          </w:p>
        </w:tc>
        <w:tc>
          <w:tcPr>
            <w:tcW w:w="1339" w:type="dxa"/>
            <w:tcBorders>
              <w:tl2br w:val="nil"/>
              <w:tr2bl w:val="nil"/>
            </w:tcBorders>
            <w:tcMar>
              <w:top w:w="10" w:type="dxa"/>
              <w:left w:w="10" w:type="dxa"/>
              <w:right w:w="10" w:type="dxa"/>
            </w:tcMar>
            <w:vAlign w:val="center"/>
          </w:tcPr>
          <w:p w14:paraId="343CB355">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售后服务方案评审</w:t>
            </w:r>
          </w:p>
          <w:p w14:paraId="75F2FBAE">
            <w:pPr>
              <w:keepNext w:val="0"/>
              <w:keepLines w:val="0"/>
              <w:pageBreakBefore w:val="0"/>
              <w:widowControl/>
              <w:kinsoku/>
              <w:wordWrap/>
              <w:overflowPunct/>
              <w:topLinePunct w:val="0"/>
              <w:autoSpaceDE/>
              <w:autoSpaceDN/>
              <w:bidi w:val="0"/>
              <w:spacing w:line="360" w:lineRule="auto"/>
              <w:jc w:val="center"/>
              <w:rPr>
                <w:rFonts w:hint="eastAsia" w:ascii="宋体" w:hAnsi="宋体" w:eastAsia="宋体" w:cs="宋体"/>
                <w:color w:val="000000"/>
                <w:sz w:val="24"/>
                <w:szCs w:val="24"/>
                <w:highlight w:val="none"/>
                <w:lang w:eastAsia="zh-CN"/>
              </w:rPr>
            </w:pPr>
            <w:r>
              <w:rPr>
                <w:rFonts w:hint="eastAsia" w:ascii="宋体" w:hAnsi="宋体" w:eastAsia="宋体" w:cs="宋体"/>
                <w:bCs/>
                <w:color w:val="000000"/>
                <w:sz w:val="24"/>
                <w:szCs w:val="24"/>
                <w:highlight w:val="none"/>
              </w:rPr>
              <w:t>(</w:t>
            </w:r>
            <w:r>
              <w:rPr>
                <w:rFonts w:hint="eastAsia" w:ascii="宋体" w:hAnsi="宋体" w:cs="宋体"/>
                <w:bCs/>
                <w:color w:val="000000"/>
                <w:sz w:val="24"/>
                <w:szCs w:val="24"/>
                <w:highlight w:val="none"/>
                <w:lang w:val="en-US" w:eastAsia="zh-CN"/>
              </w:rPr>
              <w:t>6</w:t>
            </w:r>
            <w:r>
              <w:rPr>
                <w:rFonts w:hint="eastAsia" w:ascii="宋体" w:hAnsi="宋体" w:eastAsia="宋体" w:cs="宋体"/>
                <w:bCs/>
                <w:color w:val="000000"/>
                <w:sz w:val="24"/>
                <w:szCs w:val="24"/>
                <w:highlight w:val="none"/>
              </w:rPr>
              <w:t>分）</w:t>
            </w:r>
          </w:p>
        </w:tc>
        <w:tc>
          <w:tcPr>
            <w:tcW w:w="7329" w:type="dxa"/>
            <w:tcBorders>
              <w:tl2br w:val="nil"/>
              <w:tr2bl w:val="nil"/>
            </w:tcBorders>
            <w:tcMar>
              <w:top w:w="10" w:type="dxa"/>
              <w:left w:w="10" w:type="dxa"/>
              <w:right w:w="10" w:type="dxa"/>
            </w:tcMar>
            <w:vAlign w:val="center"/>
          </w:tcPr>
          <w:p w14:paraId="2FA24755">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1</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售后服务能力强，售后服务体系完整度高，保障性强，售后服务方案、承诺及保证完善具体，针对性强</w:t>
            </w:r>
            <w:r>
              <w:rPr>
                <w:rFonts w:hint="eastAsia" w:ascii="宋体" w:hAnsi="宋体" w:cs="宋体"/>
                <w:bCs/>
                <w:color w:val="000000"/>
                <w:sz w:val="24"/>
                <w:szCs w:val="24"/>
                <w:highlight w:val="none"/>
                <w:lang w:val="en-US" w:eastAsia="zh-CN"/>
              </w:rPr>
              <w:t>的得5</w:t>
            </w:r>
            <w:r>
              <w:rPr>
                <w:rFonts w:hint="eastAsia" w:ascii="宋体" w:hAnsi="宋体" w:eastAsia="宋体" w:cs="宋体"/>
                <w:bCs/>
                <w:color w:val="000000"/>
                <w:sz w:val="24"/>
                <w:szCs w:val="24"/>
                <w:highlight w:val="none"/>
              </w:rPr>
              <w:t>～</w:t>
            </w:r>
            <w:r>
              <w:rPr>
                <w:rFonts w:hint="eastAsia" w:ascii="宋体" w:hAnsi="宋体" w:cs="宋体"/>
                <w:bCs/>
                <w:color w:val="000000"/>
                <w:sz w:val="24"/>
                <w:szCs w:val="24"/>
                <w:highlight w:val="none"/>
                <w:lang w:val="en-US" w:eastAsia="zh-CN"/>
              </w:rPr>
              <w:t>6</w:t>
            </w:r>
            <w:r>
              <w:rPr>
                <w:rFonts w:hint="eastAsia" w:ascii="宋体" w:hAnsi="宋体" w:eastAsia="宋体" w:cs="宋体"/>
                <w:bCs/>
                <w:color w:val="000000"/>
                <w:sz w:val="24"/>
                <w:szCs w:val="24"/>
                <w:highlight w:val="none"/>
              </w:rPr>
              <w:t>分</w:t>
            </w:r>
          </w:p>
          <w:p w14:paraId="4644E966">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2</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售后服务能力，售后服务体系完整度及保障性描述简单，售后服务方案、承诺及保证可行，有一定的针对性</w:t>
            </w:r>
            <w:r>
              <w:rPr>
                <w:rFonts w:hint="eastAsia" w:ascii="宋体" w:hAnsi="宋体" w:cs="宋体"/>
                <w:bCs/>
                <w:color w:val="000000"/>
                <w:sz w:val="24"/>
                <w:szCs w:val="24"/>
                <w:highlight w:val="none"/>
                <w:lang w:val="en-US" w:eastAsia="zh-CN"/>
              </w:rPr>
              <w:t>的得3</w:t>
            </w:r>
            <w:r>
              <w:rPr>
                <w:rFonts w:hint="eastAsia" w:ascii="宋体" w:hAnsi="宋体" w:eastAsia="宋体" w:cs="宋体"/>
                <w:bCs/>
                <w:color w:val="000000"/>
                <w:sz w:val="24"/>
                <w:szCs w:val="24"/>
                <w:highlight w:val="none"/>
              </w:rPr>
              <w:t>～</w:t>
            </w:r>
            <w:r>
              <w:rPr>
                <w:rFonts w:hint="eastAsia" w:ascii="宋体" w:hAnsi="宋体" w:cs="宋体"/>
                <w:bCs/>
                <w:color w:val="000000"/>
                <w:sz w:val="24"/>
                <w:szCs w:val="24"/>
                <w:highlight w:val="none"/>
                <w:lang w:val="en-US" w:eastAsia="zh-CN"/>
              </w:rPr>
              <w:t>4</w:t>
            </w:r>
            <w:r>
              <w:rPr>
                <w:rFonts w:hint="eastAsia" w:ascii="宋体" w:hAnsi="宋体" w:eastAsia="宋体" w:cs="宋体"/>
                <w:bCs/>
                <w:color w:val="000000"/>
                <w:sz w:val="24"/>
                <w:szCs w:val="24"/>
                <w:highlight w:val="none"/>
              </w:rPr>
              <w:t>分</w:t>
            </w:r>
          </w:p>
          <w:p w14:paraId="379F4B32">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3</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售后服务能力弱，售后服务体系完整度及保障性粗糙，售后服务方案、承诺及保证基本可行，但缺乏针对性</w:t>
            </w:r>
            <w:r>
              <w:rPr>
                <w:rFonts w:hint="eastAsia" w:ascii="宋体" w:hAnsi="宋体" w:cs="宋体"/>
                <w:bCs/>
                <w:color w:val="000000"/>
                <w:sz w:val="24"/>
                <w:szCs w:val="24"/>
                <w:highlight w:val="none"/>
                <w:lang w:val="en-US" w:eastAsia="zh-CN"/>
              </w:rPr>
              <w:t>的得1</w:t>
            </w:r>
            <w:r>
              <w:rPr>
                <w:rFonts w:hint="eastAsia" w:ascii="宋体" w:hAnsi="宋体" w:eastAsia="宋体" w:cs="宋体"/>
                <w:bCs/>
                <w:color w:val="000000"/>
                <w:sz w:val="24"/>
                <w:szCs w:val="24"/>
                <w:highlight w:val="none"/>
              </w:rPr>
              <w:t>～</w:t>
            </w:r>
            <w:r>
              <w:rPr>
                <w:rFonts w:hint="eastAsia" w:ascii="宋体" w:hAnsi="宋体" w:cs="宋体"/>
                <w:bCs/>
                <w:color w:val="000000"/>
                <w:sz w:val="24"/>
                <w:szCs w:val="24"/>
                <w:highlight w:val="none"/>
                <w:lang w:val="en-US" w:eastAsia="zh-CN"/>
              </w:rPr>
              <w:t>2</w:t>
            </w:r>
            <w:r>
              <w:rPr>
                <w:rFonts w:hint="eastAsia" w:ascii="宋体" w:hAnsi="宋体" w:eastAsia="宋体" w:cs="宋体"/>
                <w:bCs/>
                <w:color w:val="000000"/>
                <w:sz w:val="24"/>
                <w:szCs w:val="24"/>
                <w:highlight w:val="none"/>
              </w:rPr>
              <w:t>分</w:t>
            </w:r>
          </w:p>
          <w:p w14:paraId="5BDC3E64">
            <w:pPr>
              <w:keepNext w:val="0"/>
              <w:keepLines w:val="0"/>
              <w:pageBreakBefore w:val="0"/>
              <w:widowControl/>
              <w:kinsoku/>
              <w:wordWrap/>
              <w:overflowPunct/>
              <w:topLinePunct w:val="0"/>
              <w:autoSpaceDE/>
              <w:autoSpaceDN/>
              <w:bidi w:val="0"/>
              <w:spacing w:line="360" w:lineRule="auto"/>
              <w:rPr>
                <w:rFonts w:hint="eastAsia" w:ascii="宋体" w:hAnsi="宋体" w:eastAsia="宋体" w:cs="宋体"/>
                <w:bCs/>
                <w:color w:val="000000"/>
                <w:sz w:val="24"/>
                <w:szCs w:val="24"/>
                <w:highlight w:val="none"/>
                <w:lang w:eastAsia="zh-CN"/>
              </w:rPr>
            </w:pP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lang w:val="en-US" w:eastAsia="zh-CN"/>
              </w:rPr>
              <w:t>4</w:t>
            </w:r>
            <w:r>
              <w:rPr>
                <w:rFonts w:hint="eastAsia" w:ascii="宋体" w:hAnsi="宋体" w:eastAsia="宋体" w:cs="宋体"/>
                <w:bCs/>
                <w:color w:val="000000"/>
                <w:sz w:val="24"/>
                <w:szCs w:val="24"/>
                <w:highlight w:val="none"/>
                <w:lang w:eastAsia="zh-CN"/>
              </w:rPr>
              <w:t>）</w:t>
            </w:r>
            <w:r>
              <w:rPr>
                <w:rFonts w:hint="eastAsia" w:ascii="宋体" w:hAnsi="宋体" w:eastAsia="宋体" w:cs="宋体"/>
                <w:bCs/>
                <w:color w:val="000000"/>
                <w:sz w:val="24"/>
                <w:szCs w:val="24"/>
                <w:highlight w:val="none"/>
              </w:rPr>
              <w:t>售后服务方案不完整、几乎没有保障性</w:t>
            </w:r>
            <w:r>
              <w:rPr>
                <w:rFonts w:hint="eastAsia" w:ascii="宋体" w:hAnsi="宋体" w:cs="宋体"/>
                <w:bCs/>
                <w:color w:val="000000"/>
                <w:sz w:val="24"/>
                <w:szCs w:val="24"/>
                <w:highlight w:val="none"/>
                <w:lang w:val="en-US" w:eastAsia="zh-CN"/>
              </w:rPr>
              <w:t>的得</w:t>
            </w:r>
            <w:r>
              <w:rPr>
                <w:rFonts w:hint="eastAsia" w:ascii="宋体" w:hAnsi="宋体" w:eastAsia="宋体" w:cs="宋体"/>
                <w:bCs/>
                <w:color w:val="000000"/>
                <w:sz w:val="24"/>
                <w:szCs w:val="24"/>
                <w:highlight w:val="none"/>
                <w:lang w:val="en-US" w:eastAsia="zh-CN"/>
              </w:rPr>
              <w:t>0</w:t>
            </w:r>
            <w:r>
              <w:rPr>
                <w:rFonts w:hint="eastAsia" w:ascii="宋体" w:hAnsi="宋体" w:eastAsia="宋体" w:cs="宋体"/>
                <w:bCs/>
                <w:color w:val="000000"/>
                <w:sz w:val="24"/>
                <w:szCs w:val="24"/>
                <w:highlight w:val="none"/>
              </w:rPr>
              <w:t>分</w:t>
            </w:r>
          </w:p>
        </w:tc>
      </w:tr>
    </w:tbl>
    <w:p w14:paraId="3501A977">
      <w:pPr>
        <w:spacing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(五)得分汇总</w:t>
      </w:r>
    </w:p>
    <w:p w14:paraId="29F179E2">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1.评委应首先对各投标人投标文件进行评标，写出书面意见并按</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规定分值评分，各分档评分中间不得用插入法评分。</w:t>
      </w:r>
    </w:p>
    <w:p w14:paraId="76B8EA3F">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2.除投标价格得分外，其余部分由各评委自主评分并签字确认。</w:t>
      </w:r>
    </w:p>
    <w:p w14:paraId="218D6A45">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3.统分原则：计算评委打分的算术平均值为投标人的该项评分因素的得分，投标报价得分除外(保留小数点后两位)。</w:t>
      </w:r>
    </w:p>
    <w:p w14:paraId="6AF3DF6D">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4.得分汇总：各项评分因素得分总和即为投标人最后得分。</w:t>
      </w:r>
    </w:p>
    <w:p w14:paraId="3336DA03">
      <w:pPr>
        <w:pStyle w:val="13"/>
        <w:spacing w:line="48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5.经评标委员会认定评分畸高、畸低的，评标委员会应当当场修改评标结果，并在评标报告中记载。</w:t>
      </w:r>
    </w:p>
    <w:p w14:paraId="60E50FD5">
      <w:pPr>
        <w:spacing w:before="72" w:beforeLines="30" w:after="72" w:afterLines="30"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七、推荐</w:t>
      </w:r>
    </w:p>
    <w:p w14:paraId="7D16D849">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lang w:eastAsia="zh-Hans"/>
        </w:rPr>
        <w:t>评审</w:t>
      </w:r>
      <w:r>
        <w:rPr>
          <w:rFonts w:hint="eastAsia" w:ascii="宋体" w:hAnsi="宋体" w:cs="宋体"/>
          <w:i w:val="0"/>
          <w:iCs w:val="0"/>
          <w:color w:val="auto"/>
          <w:sz w:val="24"/>
          <w:szCs w:val="24"/>
          <w:highlight w:val="none"/>
        </w:rPr>
        <w:t>过程中如遇特殊情况由评标委员会集体研究确定。</w:t>
      </w:r>
    </w:p>
    <w:p w14:paraId="15B4FE2D">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评标委员会应当根据综合评分情况，按照评标得分由高到低顺序推荐1～3名中标候选人，并编写评标报告。评标得分相等的，按照投标报价由低到高的顺序推荐。评标得分相等且投标报价相同的，按照</w:t>
      </w:r>
      <w:r>
        <w:rPr>
          <w:rFonts w:hint="eastAsia" w:ascii="宋体" w:hAnsi="宋体" w:cs="宋体"/>
          <w:i w:val="0"/>
          <w:iCs w:val="0"/>
          <w:color w:val="auto"/>
          <w:sz w:val="24"/>
          <w:szCs w:val="24"/>
          <w:highlight w:val="none"/>
          <w:lang w:val="en-US" w:eastAsia="zh-CN"/>
        </w:rPr>
        <w:t>技术</w:t>
      </w:r>
      <w:r>
        <w:rPr>
          <w:rFonts w:hint="eastAsia" w:ascii="宋体" w:hAnsi="宋体" w:cs="宋体"/>
          <w:i w:val="0"/>
          <w:iCs w:val="0"/>
          <w:color w:val="auto"/>
          <w:sz w:val="24"/>
          <w:szCs w:val="24"/>
          <w:highlight w:val="none"/>
        </w:rPr>
        <w:t>部分评审得分由高到低顺序推荐，依次类推。最终中标单位由招标人确定。</w:t>
      </w:r>
    </w:p>
    <w:p w14:paraId="33195C01">
      <w:pPr>
        <w:spacing w:before="72" w:beforeLines="30" w:after="72" w:afterLines="30" w:line="500" w:lineRule="exact"/>
        <w:ind w:firstLine="482" w:firstLineChars="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八、评标报告编写</w:t>
      </w:r>
    </w:p>
    <w:p w14:paraId="255BC21A">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评标委员会根据全体评标成员签字的原始评标记录评标结果编写评标报告。</w:t>
      </w:r>
    </w:p>
    <w:p w14:paraId="161068EC">
      <w:pPr>
        <w:pStyle w:val="13"/>
        <w:spacing w:line="500" w:lineRule="exact"/>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评标报告应当由评标委员会全体人员签字认可。评标委员会成员对评标报告有异议的，评标委员会按照少数服从多数的原则推荐中标候选人，招标程序继续进行。对评标报告有异议的评标委员会成员，应当在报告上签署不同意见并说明理由，由评标委员会书面记录相关情况。评标委员会成员拒绝在报告上签字又不书面说明其不同意见和理由的，视为同意评标报告</w:t>
      </w:r>
      <w:bookmarkStart w:id="237" w:name="_Toc21476"/>
      <w:bookmarkEnd w:id="237"/>
      <w:bookmarkStart w:id="238" w:name="_Toc18440"/>
      <w:bookmarkEnd w:id="238"/>
      <w:bookmarkStart w:id="239" w:name="_Toc8239"/>
      <w:bookmarkEnd w:id="239"/>
      <w:bookmarkStart w:id="240" w:name="_Toc26828"/>
      <w:bookmarkEnd w:id="240"/>
      <w:r>
        <w:rPr>
          <w:rFonts w:hint="eastAsia" w:ascii="宋体" w:hAnsi="宋体" w:cs="宋体"/>
          <w:i w:val="0"/>
          <w:iCs w:val="0"/>
          <w:color w:val="auto"/>
          <w:sz w:val="24"/>
          <w:szCs w:val="24"/>
          <w:highlight w:val="none"/>
        </w:rPr>
        <w:t>。</w:t>
      </w:r>
      <w:bookmarkEnd w:id="235"/>
      <w:bookmarkStart w:id="241" w:name="_Toc29722"/>
      <w:bookmarkStart w:id="242" w:name="_Toc3397766"/>
    </w:p>
    <w:p w14:paraId="1C25A126">
      <w:pPr>
        <w:pStyle w:val="12"/>
        <w:rPr>
          <w:rFonts w:ascii="宋体" w:hAnsi="宋体" w:cs="宋体"/>
          <w:i w:val="0"/>
          <w:iCs w:val="0"/>
          <w:color w:val="auto"/>
          <w:highlight w:val="none"/>
        </w:rPr>
        <w:sectPr>
          <w:footerReference r:id="rId14" w:type="default"/>
          <w:type w:val="nextColumn"/>
          <w:pgSz w:w="11906" w:h="16838"/>
          <w:pgMar w:top="1440" w:right="1304" w:bottom="1440" w:left="1304" w:header="737" w:footer="737" w:gutter="0"/>
          <w:pgNumType w:fmt="decimal"/>
          <w:cols w:space="720" w:num="1"/>
          <w:docGrid w:linePitch="299" w:charSpace="0"/>
        </w:sectPr>
      </w:pPr>
    </w:p>
    <w:bookmarkEnd w:id="241"/>
    <w:p w14:paraId="2D903410">
      <w:pPr>
        <w:pStyle w:val="2"/>
        <w:numPr>
          <w:ilvl w:val="0"/>
          <w:numId w:val="5"/>
        </w:numPr>
        <w:spacing w:before="0" w:after="0" w:line="360" w:lineRule="auto"/>
        <w:jc w:val="center"/>
      </w:pPr>
      <w:r>
        <w:rPr>
          <w:rFonts w:hint="eastAsia" w:ascii="宋体" w:hAnsi="宋体" w:cs="宋体"/>
          <w:i w:val="0"/>
          <w:iCs w:val="0"/>
          <w:color w:val="auto"/>
          <w:highlight w:val="none"/>
          <w:lang w:val="en-US" w:eastAsia="zh-CN"/>
        </w:rPr>
        <w:t xml:space="preserve"> </w:t>
      </w:r>
      <w:bookmarkStart w:id="243" w:name="_Toc30502"/>
      <w:r>
        <w:rPr>
          <w:rFonts w:hint="eastAsia" w:ascii="宋体" w:hAnsi="宋体" w:cs="宋体"/>
          <w:i w:val="0"/>
          <w:iCs w:val="0"/>
          <w:color w:val="auto"/>
          <w:highlight w:val="none"/>
        </w:rPr>
        <w:t>合同条款及格式</w:t>
      </w:r>
      <w:bookmarkEnd w:id="242"/>
      <w:bookmarkEnd w:id="243"/>
    </w:p>
    <w:p w14:paraId="3BA95F67">
      <w:pPr>
        <w:rPr>
          <w:rFonts w:hint="eastAsia" w:ascii="宋体" w:hAnsi="宋体" w:eastAsia="宋体" w:cs="宋体"/>
          <w:sz w:val="24"/>
          <w:szCs w:val="24"/>
          <w:u w:val="single"/>
        </w:rPr>
      </w:pPr>
      <w:r>
        <w:rPr>
          <w:rFonts w:hint="eastAsia" w:ascii="宋体" w:hAnsi="宋体" w:cs="宋体"/>
          <w:i w:val="0"/>
          <w:iCs w:val="0"/>
          <w:color w:val="auto"/>
          <w:highlight w:val="none"/>
          <w:lang w:val="en-US" w:eastAsia="zh-CN"/>
        </w:rPr>
        <w:t xml:space="preserve">      </w:t>
      </w:r>
    </w:p>
    <w:p w14:paraId="424B9170">
      <w:pPr>
        <w:spacing w:line="480" w:lineRule="auto"/>
        <w:jc w:val="center"/>
        <w:rPr>
          <w:rFonts w:hint="eastAsia" w:ascii="宋体" w:hAnsi="宋体" w:eastAsia="宋体" w:cs="宋体"/>
          <w:b/>
          <w:sz w:val="24"/>
          <w:szCs w:val="24"/>
        </w:rPr>
      </w:pPr>
    </w:p>
    <w:p w14:paraId="7CE98B07">
      <w:pPr>
        <w:spacing w:after="240"/>
        <w:jc w:val="center"/>
        <w:rPr>
          <w:rFonts w:hint="eastAsia" w:ascii="??" w:hAnsi="??" w:eastAsia="宋体"/>
          <w:color w:val="auto"/>
          <w:sz w:val="36"/>
          <w:szCs w:val="36"/>
          <w:highlight w:val="none"/>
          <w:lang w:eastAsia="zh-CN"/>
        </w:rPr>
      </w:pPr>
      <w:r>
        <w:rPr>
          <w:rFonts w:hint="eastAsia" w:ascii="??" w:hAnsi="??"/>
          <w:color w:val="auto"/>
          <w:sz w:val="36"/>
          <w:szCs w:val="36"/>
          <w:highlight w:val="none"/>
          <w:lang w:eastAsia="zh-CN"/>
        </w:rPr>
        <w:t>红河州第二人民医院经颅磁刺激仪采购项目</w:t>
      </w:r>
    </w:p>
    <w:p w14:paraId="6F8A9F5C">
      <w:pPr>
        <w:spacing w:line="480" w:lineRule="auto"/>
        <w:jc w:val="center"/>
        <w:rPr>
          <w:rFonts w:hint="eastAsia" w:ascii="宋体" w:hAnsi="宋体" w:eastAsia="宋体" w:cs="宋体"/>
          <w:b/>
          <w:color w:val="FF0000"/>
          <w:sz w:val="24"/>
          <w:szCs w:val="24"/>
        </w:rPr>
      </w:pPr>
    </w:p>
    <w:p w14:paraId="3CEA6078">
      <w:pPr>
        <w:spacing w:line="480" w:lineRule="auto"/>
        <w:jc w:val="center"/>
        <w:rPr>
          <w:rFonts w:hint="eastAsia" w:ascii="宋体" w:hAnsi="宋体" w:eastAsia="宋体" w:cs="宋体"/>
          <w:b/>
          <w:color w:val="FF0000"/>
          <w:sz w:val="24"/>
          <w:szCs w:val="24"/>
        </w:rPr>
      </w:pPr>
    </w:p>
    <w:p w14:paraId="683D387A">
      <w:pPr>
        <w:spacing w:before="480" w:beforeLines="200" w:after="480" w:afterLines="200"/>
        <w:jc w:val="center"/>
        <w:rPr>
          <w:rFonts w:ascii="??"/>
          <w:color w:val="auto"/>
          <w:sz w:val="18"/>
          <w:szCs w:val="18"/>
          <w:highlight w:val="none"/>
        </w:rPr>
      </w:pPr>
      <w:r>
        <w:rPr>
          <w:rFonts w:hint="eastAsia" w:ascii="黑体" w:eastAsia="黑体"/>
          <w:color w:val="auto"/>
          <w:sz w:val="63"/>
          <w:szCs w:val="63"/>
          <w:highlight w:val="none"/>
        </w:rPr>
        <w:t>合</w:t>
      </w:r>
    </w:p>
    <w:p w14:paraId="302A9E7D">
      <w:pPr>
        <w:spacing w:before="480" w:beforeLines="200" w:after="480" w:afterLines="200" w:line="900" w:lineRule="exact"/>
        <w:jc w:val="center"/>
        <w:rPr>
          <w:rFonts w:ascii="??"/>
          <w:color w:val="auto"/>
          <w:sz w:val="18"/>
          <w:szCs w:val="18"/>
          <w:highlight w:val="none"/>
        </w:rPr>
      </w:pPr>
      <w:r>
        <w:rPr>
          <w:rFonts w:hint="eastAsia" w:ascii="黑体" w:eastAsia="黑体"/>
          <w:color w:val="auto"/>
          <w:sz w:val="63"/>
          <w:szCs w:val="63"/>
          <w:highlight w:val="none"/>
        </w:rPr>
        <w:t>同</w:t>
      </w:r>
    </w:p>
    <w:p w14:paraId="66C835BE">
      <w:pPr>
        <w:spacing w:before="480" w:beforeLines="200" w:after="480" w:afterLines="200" w:line="900" w:lineRule="exact"/>
        <w:jc w:val="center"/>
        <w:rPr>
          <w:rFonts w:hint="eastAsia" w:ascii="??" w:hAnsi="??" w:eastAsia="宋体"/>
          <w:color w:val="auto"/>
          <w:sz w:val="18"/>
          <w:szCs w:val="18"/>
          <w:highlight w:val="none"/>
          <w:lang w:eastAsia="zh-CN"/>
        </w:rPr>
      </w:pPr>
      <w:r>
        <w:rPr>
          <w:rFonts w:hint="eastAsia" w:ascii="黑体" w:eastAsia="黑体"/>
          <w:color w:val="auto"/>
          <w:sz w:val="63"/>
          <w:szCs w:val="63"/>
          <w:highlight w:val="none"/>
        </w:rPr>
        <w:t>书</w:t>
      </w:r>
    </w:p>
    <w:p w14:paraId="7AF466FD">
      <w:pPr>
        <w:spacing w:before="1920" w:beforeLines="800"/>
        <w:ind w:firstLine="2711" w:firstLineChars="1000"/>
        <w:rPr>
          <w:rFonts w:ascii="??"/>
          <w:color w:val="auto"/>
          <w:sz w:val="18"/>
          <w:szCs w:val="18"/>
          <w:highlight w:val="none"/>
        </w:rPr>
      </w:pPr>
      <w:r>
        <w:rPr>
          <w:rFonts w:hint="eastAsia" w:ascii="楷体_GB2312" w:eastAsia="楷体_GB2312"/>
          <w:b/>
          <w:bCs/>
          <w:color w:val="auto"/>
          <w:sz w:val="27"/>
          <w:szCs w:val="27"/>
          <w:highlight w:val="none"/>
        </w:rPr>
        <w:t>签订地点：</w:t>
      </w:r>
      <w:r>
        <w:rPr>
          <w:rFonts w:ascii="楷体_GB2312" w:eastAsia="楷体_GB2312"/>
          <w:b/>
          <w:bCs/>
          <w:color w:val="auto"/>
          <w:sz w:val="27"/>
          <w:szCs w:val="27"/>
          <w:highlight w:val="none"/>
        </w:rPr>
        <w:t xml:space="preserve">    </w:t>
      </w:r>
    </w:p>
    <w:p w14:paraId="78C6A0F7">
      <w:pPr>
        <w:tabs>
          <w:tab w:val="left" w:pos="1210"/>
          <w:tab w:val="left" w:pos="3295"/>
          <w:tab w:val="left" w:pos="4756"/>
          <w:tab w:val="left" w:pos="5639"/>
          <w:tab w:val="left" w:pos="6648"/>
          <w:tab w:val="left" w:pos="7857"/>
        </w:tabs>
        <w:ind w:firstLine="2711" w:firstLineChars="1000"/>
        <w:rPr>
          <w:rFonts w:hint="eastAsia" w:ascii="楷体_GB2312" w:eastAsia="楷体_GB2312"/>
          <w:b/>
          <w:bCs/>
          <w:color w:val="auto"/>
          <w:sz w:val="27"/>
          <w:szCs w:val="27"/>
          <w:highlight w:val="none"/>
        </w:rPr>
      </w:pPr>
      <w:r>
        <w:rPr>
          <w:rFonts w:hint="eastAsia" w:ascii="楷体_GB2312" w:eastAsia="楷体_GB2312"/>
          <w:b/>
          <w:bCs/>
          <w:color w:val="auto"/>
          <w:sz w:val="27"/>
          <w:szCs w:val="27"/>
          <w:highlight w:val="none"/>
        </w:rPr>
        <w:t>签订日期：</w:t>
      </w:r>
      <w:r>
        <w:rPr>
          <w:rFonts w:ascii="楷体_GB2312" w:eastAsia="楷体_GB2312"/>
          <w:b/>
          <w:bCs/>
          <w:color w:val="auto"/>
          <w:sz w:val="27"/>
          <w:szCs w:val="27"/>
          <w:highlight w:val="none"/>
        </w:rPr>
        <w:t xml:space="preserve">      </w:t>
      </w:r>
      <w:r>
        <w:rPr>
          <w:rFonts w:hint="eastAsia" w:ascii="楷体_GB2312" w:eastAsia="楷体_GB2312"/>
          <w:b/>
          <w:bCs/>
          <w:color w:val="auto"/>
          <w:sz w:val="27"/>
          <w:szCs w:val="27"/>
          <w:highlight w:val="none"/>
        </w:rPr>
        <w:t>年</w:t>
      </w:r>
      <w:r>
        <w:rPr>
          <w:rFonts w:ascii="楷体_GB2312" w:eastAsia="楷体_GB2312"/>
          <w:b/>
          <w:bCs/>
          <w:color w:val="auto"/>
          <w:sz w:val="27"/>
          <w:szCs w:val="27"/>
          <w:highlight w:val="none"/>
        </w:rPr>
        <w:t xml:space="preserve">  </w:t>
      </w:r>
      <w:r>
        <w:rPr>
          <w:rFonts w:hint="eastAsia" w:ascii="楷体_GB2312" w:eastAsia="楷体_GB2312"/>
          <w:b/>
          <w:bCs/>
          <w:color w:val="auto"/>
          <w:sz w:val="27"/>
          <w:szCs w:val="27"/>
          <w:highlight w:val="none"/>
        </w:rPr>
        <w:t>月　日</w:t>
      </w:r>
    </w:p>
    <w:p w14:paraId="7FF864C8">
      <w:pPr>
        <w:tabs>
          <w:tab w:val="left" w:pos="1210"/>
          <w:tab w:val="left" w:pos="3295"/>
          <w:tab w:val="left" w:pos="4756"/>
          <w:tab w:val="left" w:pos="5639"/>
          <w:tab w:val="left" w:pos="6648"/>
          <w:tab w:val="left" w:pos="7857"/>
        </w:tabs>
        <w:ind w:firstLine="2711" w:firstLineChars="1000"/>
        <w:rPr>
          <w:rFonts w:hint="eastAsia" w:ascii="楷体_GB2312" w:eastAsia="楷体_GB2312"/>
          <w:b/>
          <w:bCs/>
          <w:color w:val="auto"/>
          <w:sz w:val="27"/>
          <w:szCs w:val="27"/>
          <w:highlight w:val="none"/>
        </w:rPr>
      </w:pPr>
    </w:p>
    <w:p w14:paraId="1D435347">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480" w:firstLineChars="200"/>
        <w:jc w:val="both"/>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为强化甲方科学诊断水平，提高医院运作效率，甲方决定采购</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，经过相应招标程序，</w:t>
      </w:r>
      <w:r>
        <w:rPr>
          <w:rFonts w:hint="eastAsia" w:ascii="宋体" w:hAnsi="宋体" w:eastAsia="宋体" w:cs="宋体"/>
          <w:color w:val="auto"/>
          <w:sz w:val="24"/>
          <w:szCs w:val="24"/>
          <w:highlight w:val="none"/>
        </w:rPr>
        <w:t xml:space="preserve">乙方成为甲方医疗设备招标采购项目（招标编号：              </w:t>
      </w:r>
      <w:r>
        <w:rPr>
          <w:rFonts w:hint="eastAsia" w:ascii="宋体" w:hAnsi="宋体" w:eastAsia="宋体" w:cs="宋体"/>
          <w:color w:val="auto"/>
          <w:kern w:val="0"/>
          <w:sz w:val="24"/>
          <w:szCs w:val="24"/>
          <w:highlight w:val="none"/>
        </w:rPr>
        <w:t>）的中标单位。经甲乙双方协商一致，签订以下内容之采购合同：</w:t>
      </w:r>
    </w:p>
    <w:p w14:paraId="6723456E">
      <w:pPr>
        <w:keepNext w:val="0"/>
        <w:keepLines w:val="0"/>
        <w:pageBreakBefore w:val="0"/>
        <w:widowControl/>
        <w:numPr>
          <w:ilvl w:val="0"/>
          <w:numId w:val="6"/>
        </w:numPr>
        <w:kinsoku/>
        <w:wordWrap/>
        <w:overflowPunct/>
        <w:topLinePunct w:val="0"/>
        <w:autoSpaceDE/>
        <w:autoSpaceDN/>
        <w:bidi w:val="0"/>
        <w:adjustRightInd/>
        <w:snapToGrid/>
        <w:spacing w:line="52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项目或设备名称、品牌、型号规格、生产厂家名、数量、价格、交货期</w:t>
      </w:r>
      <w:r>
        <w:rPr>
          <w:rFonts w:hint="eastAsia" w:ascii="宋体" w:hAnsi="宋体" w:cs="宋体"/>
          <w:b/>
          <w:bCs/>
          <w:color w:val="auto"/>
          <w:sz w:val="24"/>
          <w:szCs w:val="24"/>
          <w:highlight w:val="none"/>
          <w:lang w:eastAsia="zh-CN"/>
        </w:rPr>
        <w:t>：</w:t>
      </w:r>
    </w:p>
    <w:tbl>
      <w:tblPr>
        <w:tblStyle w:val="34"/>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1"/>
        <w:gridCol w:w="1827"/>
        <w:gridCol w:w="1890"/>
        <w:gridCol w:w="945"/>
        <w:gridCol w:w="1155"/>
        <w:gridCol w:w="1302"/>
      </w:tblGrid>
      <w:tr w14:paraId="7630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2" w:hRule="atLeast"/>
        </w:trPr>
        <w:tc>
          <w:tcPr>
            <w:tcW w:w="1851" w:type="dxa"/>
            <w:tcBorders>
              <w:top w:val="single" w:color="auto" w:sz="4" w:space="0"/>
              <w:left w:val="single" w:color="auto" w:sz="4" w:space="0"/>
              <w:bottom w:val="single" w:color="auto" w:sz="4" w:space="0"/>
              <w:right w:val="single" w:color="auto" w:sz="4" w:space="0"/>
            </w:tcBorders>
            <w:noWrap w:val="0"/>
            <w:vAlign w:val="center"/>
          </w:tcPr>
          <w:p w14:paraId="7963D832">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设备名称</w:t>
            </w:r>
          </w:p>
        </w:tc>
        <w:tc>
          <w:tcPr>
            <w:tcW w:w="1827" w:type="dxa"/>
            <w:tcBorders>
              <w:top w:val="single" w:color="auto" w:sz="4" w:space="0"/>
              <w:left w:val="nil"/>
              <w:bottom w:val="single" w:color="auto" w:sz="4" w:space="0"/>
              <w:right w:val="single" w:color="auto" w:sz="4" w:space="0"/>
            </w:tcBorders>
            <w:noWrap w:val="0"/>
            <w:vAlign w:val="center"/>
          </w:tcPr>
          <w:p w14:paraId="7D5C933C">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型号规格</w:t>
            </w:r>
          </w:p>
        </w:tc>
        <w:tc>
          <w:tcPr>
            <w:tcW w:w="1890" w:type="dxa"/>
            <w:tcBorders>
              <w:top w:val="single" w:color="auto" w:sz="4" w:space="0"/>
              <w:left w:val="nil"/>
              <w:bottom w:val="single" w:color="auto" w:sz="4" w:space="0"/>
              <w:right w:val="single" w:color="auto" w:sz="4" w:space="0"/>
            </w:tcBorders>
            <w:noWrap w:val="0"/>
            <w:vAlign w:val="center"/>
          </w:tcPr>
          <w:p w14:paraId="6FF01EBF">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生产厂家</w:t>
            </w:r>
          </w:p>
        </w:tc>
        <w:tc>
          <w:tcPr>
            <w:tcW w:w="945" w:type="dxa"/>
            <w:tcBorders>
              <w:top w:val="single" w:color="auto" w:sz="4" w:space="0"/>
              <w:left w:val="nil"/>
              <w:bottom w:val="single" w:color="auto" w:sz="4" w:space="0"/>
              <w:right w:val="single" w:color="auto" w:sz="4" w:space="0"/>
            </w:tcBorders>
            <w:noWrap w:val="0"/>
            <w:vAlign w:val="center"/>
          </w:tcPr>
          <w:p w14:paraId="0D131867">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数量</w:t>
            </w:r>
          </w:p>
        </w:tc>
        <w:tc>
          <w:tcPr>
            <w:tcW w:w="1155" w:type="dxa"/>
            <w:tcBorders>
              <w:top w:val="single" w:color="auto" w:sz="4" w:space="0"/>
              <w:left w:val="nil"/>
              <w:bottom w:val="single" w:color="auto" w:sz="4" w:space="0"/>
              <w:right w:val="single" w:color="auto" w:sz="4" w:space="0"/>
            </w:tcBorders>
            <w:noWrap w:val="0"/>
            <w:vAlign w:val="center"/>
          </w:tcPr>
          <w:p w14:paraId="1E0DE5FA">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总价（元）</w:t>
            </w:r>
          </w:p>
        </w:tc>
        <w:tc>
          <w:tcPr>
            <w:tcW w:w="1302" w:type="dxa"/>
            <w:tcBorders>
              <w:top w:val="single" w:color="auto" w:sz="4" w:space="0"/>
              <w:left w:val="nil"/>
              <w:bottom w:val="single" w:color="auto" w:sz="4" w:space="0"/>
              <w:right w:val="single" w:color="auto" w:sz="4" w:space="0"/>
            </w:tcBorders>
            <w:noWrap w:val="0"/>
            <w:vAlign w:val="center"/>
          </w:tcPr>
          <w:p w14:paraId="4BFF9BD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交货期</w:t>
            </w:r>
          </w:p>
        </w:tc>
      </w:tr>
      <w:tr w14:paraId="21E7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851" w:type="dxa"/>
            <w:tcBorders>
              <w:top w:val="single" w:color="auto" w:sz="4" w:space="0"/>
              <w:left w:val="single" w:color="auto" w:sz="4" w:space="0"/>
              <w:bottom w:val="single" w:color="auto" w:sz="4" w:space="0"/>
              <w:right w:val="single" w:color="auto" w:sz="4" w:space="0"/>
            </w:tcBorders>
            <w:noWrap w:val="0"/>
            <w:vAlign w:val="center"/>
          </w:tcPr>
          <w:p w14:paraId="70CADFD3">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827" w:type="dxa"/>
            <w:tcBorders>
              <w:top w:val="single" w:color="auto" w:sz="4" w:space="0"/>
              <w:left w:val="nil"/>
              <w:bottom w:val="single" w:color="auto" w:sz="4" w:space="0"/>
              <w:right w:val="single" w:color="auto" w:sz="4" w:space="0"/>
            </w:tcBorders>
            <w:noWrap w:val="0"/>
            <w:vAlign w:val="center"/>
          </w:tcPr>
          <w:p w14:paraId="034110F8">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890" w:type="dxa"/>
            <w:tcBorders>
              <w:top w:val="single" w:color="auto" w:sz="4" w:space="0"/>
              <w:left w:val="nil"/>
              <w:bottom w:val="single" w:color="auto" w:sz="4" w:space="0"/>
              <w:right w:val="single" w:color="auto" w:sz="4" w:space="0"/>
            </w:tcBorders>
            <w:noWrap w:val="0"/>
            <w:vAlign w:val="center"/>
          </w:tcPr>
          <w:p w14:paraId="0C4AF778">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945" w:type="dxa"/>
            <w:tcBorders>
              <w:top w:val="single" w:color="auto" w:sz="4" w:space="0"/>
              <w:left w:val="nil"/>
              <w:bottom w:val="single" w:color="auto" w:sz="4" w:space="0"/>
              <w:right w:val="single" w:color="auto" w:sz="4" w:space="0"/>
            </w:tcBorders>
            <w:noWrap w:val="0"/>
            <w:vAlign w:val="center"/>
          </w:tcPr>
          <w:p w14:paraId="73E8B3B0">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155" w:type="dxa"/>
            <w:tcBorders>
              <w:top w:val="single" w:color="auto" w:sz="4" w:space="0"/>
              <w:left w:val="nil"/>
              <w:bottom w:val="single" w:color="auto" w:sz="4" w:space="0"/>
              <w:right w:val="single" w:color="auto" w:sz="4" w:space="0"/>
            </w:tcBorders>
            <w:noWrap w:val="0"/>
            <w:vAlign w:val="center"/>
          </w:tcPr>
          <w:p w14:paraId="4D3724C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sz w:val="24"/>
                <w:szCs w:val="24"/>
                <w:highlight w:val="none"/>
              </w:rPr>
            </w:pPr>
          </w:p>
        </w:tc>
        <w:tc>
          <w:tcPr>
            <w:tcW w:w="1302" w:type="dxa"/>
            <w:tcBorders>
              <w:top w:val="nil"/>
              <w:left w:val="nil"/>
              <w:bottom w:val="single" w:color="auto" w:sz="4" w:space="0"/>
              <w:right w:val="single" w:color="auto" w:sz="4" w:space="0"/>
            </w:tcBorders>
            <w:noWrap w:val="0"/>
            <w:vAlign w:val="center"/>
          </w:tcPr>
          <w:p w14:paraId="76BEF221">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p>
        </w:tc>
      </w:tr>
      <w:tr w14:paraId="4EDE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5568" w:type="dxa"/>
            <w:gridSpan w:val="3"/>
            <w:tcBorders>
              <w:top w:val="single" w:color="auto" w:sz="4" w:space="0"/>
              <w:left w:val="single" w:color="auto" w:sz="4" w:space="0"/>
              <w:bottom w:val="single" w:color="auto" w:sz="4" w:space="0"/>
              <w:right w:val="single" w:color="auto" w:sz="4" w:space="0"/>
            </w:tcBorders>
            <w:noWrap w:val="0"/>
            <w:vAlign w:val="center"/>
          </w:tcPr>
          <w:p w14:paraId="07114CD0">
            <w:pPr>
              <w:keepNext w:val="0"/>
              <w:keepLines w:val="0"/>
              <w:pageBreakBefore w:val="0"/>
              <w:widowControl/>
              <w:kinsoku/>
              <w:wordWrap/>
              <w:overflowPunct/>
              <w:topLinePunct w:val="0"/>
              <w:autoSpaceDE/>
              <w:autoSpaceDN/>
              <w:bidi w:val="0"/>
              <w:adjustRightInd/>
              <w:snapToGrid/>
              <w:spacing w:line="520" w:lineRule="exact"/>
              <w:jc w:val="righ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总计：</w:t>
            </w:r>
          </w:p>
        </w:tc>
        <w:tc>
          <w:tcPr>
            <w:tcW w:w="3402" w:type="dxa"/>
            <w:gridSpan w:val="3"/>
            <w:tcBorders>
              <w:top w:val="single" w:color="auto" w:sz="4" w:space="0"/>
              <w:left w:val="nil"/>
              <w:bottom w:val="single" w:color="auto" w:sz="4" w:space="0"/>
              <w:right w:val="single" w:color="auto" w:sz="4" w:space="0"/>
            </w:tcBorders>
            <w:noWrap w:val="0"/>
            <w:vAlign w:val="center"/>
          </w:tcPr>
          <w:p w14:paraId="7AED314E">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元</w:t>
            </w:r>
          </w:p>
        </w:tc>
      </w:tr>
      <w:tr w14:paraId="3174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5568" w:type="dxa"/>
            <w:gridSpan w:val="3"/>
            <w:tcBorders>
              <w:top w:val="single" w:color="auto" w:sz="4" w:space="0"/>
              <w:left w:val="single" w:color="auto" w:sz="4" w:space="0"/>
              <w:bottom w:val="single" w:color="auto" w:sz="4" w:space="0"/>
              <w:right w:val="single" w:color="auto" w:sz="4" w:space="0"/>
            </w:tcBorders>
            <w:noWrap w:val="0"/>
            <w:vAlign w:val="center"/>
          </w:tcPr>
          <w:p w14:paraId="4D713000">
            <w:pPr>
              <w:keepNext w:val="0"/>
              <w:keepLines w:val="0"/>
              <w:pageBreakBefore w:val="0"/>
              <w:widowControl/>
              <w:kinsoku/>
              <w:wordWrap/>
              <w:overflowPunct/>
              <w:topLinePunct w:val="0"/>
              <w:autoSpaceDE/>
              <w:autoSpaceDN/>
              <w:bidi w:val="0"/>
              <w:adjustRightInd/>
              <w:snapToGrid/>
              <w:spacing w:line="520" w:lineRule="exact"/>
              <w:jc w:val="right"/>
              <w:rPr>
                <w:rFonts w:hint="eastAsia" w:ascii="宋体" w:hAnsi="宋体" w:eastAsia="宋体" w:cs="宋体"/>
                <w:color w:val="auto"/>
                <w:kern w:val="0"/>
                <w:sz w:val="24"/>
                <w:szCs w:val="24"/>
                <w:highlight w:val="none"/>
              </w:rPr>
            </w:pPr>
            <w:r>
              <w:rPr>
                <w:rFonts w:hint="eastAsia" w:ascii="宋体" w:hAnsi="宋体" w:eastAsia="宋体" w:cs="宋体"/>
                <w:b/>
                <w:bCs/>
                <w:color w:val="auto"/>
                <w:sz w:val="24"/>
                <w:szCs w:val="24"/>
                <w:highlight w:val="none"/>
              </w:rPr>
              <w:t>大写：</w:t>
            </w:r>
          </w:p>
        </w:tc>
        <w:tc>
          <w:tcPr>
            <w:tcW w:w="3402" w:type="dxa"/>
            <w:gridSpan w:val="3"/>
            <w:tcBorders>
              <w:top w:val="single" w:color="auto" w:sz="4" w:space="0"/>
              <w:left w:val="nil"/>
              <w:bottom w:val="single" w:color="auto" w:sz="4" w:space="0"/>
              <w:right w:val="single" w:color="auto" w:sz="4" w:space="0"/>
            </w:tcBorders>
            <w:noWrap w:val="0"/>
            <w:vAlign w:val="center"/>
          </w:tcPr>
          <w:p w14:paraId="630560D6">
            <w:pPr>
              <w:keepNext w:val="0"/>
              <w:keepLines w:val="0"/>
              <w:pageBreakBefore w:val="0"/>
              <w:widowControl/>
              <w:kinsoku/>
              <w:wordWrap/>
              <w:overflowPunct/>
              <w:topLinePunct w:val="0"/>
              <w:autoSpaceDE/>
              <w:autoSpaceDN/>
              <w:bidi w:val="0"/>
              <w:adjustRightInd/>
              <w:snapToGrid/>
              <w:spacing w:line="520" w:lineRule="exact"/>
              <w:jc w:val="center"/>
              <w:rPr>
                <w:rFonts w:hint="eastAsia" w:ascii="宋体" w:hAnsi="宋体" w:eastAsia="宋体" w:cs="宋体"/>
                <w:color w:val="auto"/>
                <w:kern w:val="0"/>
                <w:sz w:val="24"/>
                <w:szCs w:val="24"/>
                <w:highlight w:val="none"/>
              </w:rPr>
            </w:pPr>
          </w:p>
        </w:tc>
      </w:tr>
    </w:tbl>
    <w:p w14:paraId="342D2282">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二、安装调试要求</w:t>
      </w:r>
      <w:r>
        <w:rPr>
          <w:rFonts w:hint="eastAsia" w:ascii="宋体" w:hAnsi="宋体" w:cs="宋体"/>
          <w:b/>
          <w:color w:val="auto"/>
          <w:sz w:val="24"/>
          <w:szCs w:val="24"/>
          <w:highlight w:val="none"/>
          <w:lang w:eastAsia="zh-CN"/>
        </w:rPr>
        <w:t>：</w:t>
      </w:r>
    </w:p>
    <w:p w14:paraId="763F2F4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设备安装调试或项目建设符合</w:t>
      </w:r>
      <w:r>
        <w:rPr>
          <w:rFonts w:hint="eastAsia" w:ascii="宋体" w:hAnsi="宋体" w:eastAsia="宋体" w:cs="宋体"/>
          <w:color w:val="auto"/>
          <w:sz w:val="24"/>
          <w:szCs w:val="24"/>
          <w:highlight w:val="none"/>
          <w:u w:val="single"/>
        </w:rPr>
        <w:t xml:space="preserve">  国家、行业或厂家</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标准，并满足甲方技术要求，乙方负责进行设备的免费安装测试同时完成。</w:t>
      </w:r>
    </w:p>
    <w:p w14:paraId="0DB836FB">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三、合同总价</w:t>
      </w:r>
      <w:r>
        <w:rPr>
          <w:rFonts w:hint="eastAsia" w:ascii="宋体" w:hAnsi="宋体" w:eastAsia="宋体" w:cs="宋体"/>
          <w:color w:val="auto"/>
          <w:sz w:val="24"/>
          <w:szCs w:val="24"/>
          <w:highlight w:val="none"/>
        </w:rPr>
        <w:t>(大写)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(人民币</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元)</w:t>
      </w:r>
    </w:p>
    <w:p w14:paraId="136560FF">
      <w:pPr>
        <w:keepNext w:val="0"/>
        <w:keepLines w:val="0"/>
        <w:pageBreakBefore w:val="0"/>
        <w:widowControl/>
        <w:kinsoku/>
        <w:wordWrap/>
        <w:overflowPunct/>
        <w:topLinePunct w:val="0"/>
        <w:autoSpaceDE/>
        <w:autoSpaceDN/>
        <w:bidi w:val="0"/>
        <w:adjustRightInd/>
        <w:snapToGrid/>
        <w:spacing w:line="520" w:lineRule="exact"/>
        <w:ind w:firstLine="1560" w:firstLineChars="6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小写</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5858E48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以上价格为甲方指定地点交货价并包含安装、运输、调试、税收等所有费用。</w:t>
      </w:r>
    </w:p>
    <w:p w14:paraId="7C8A0E6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本合同的供货范围，除包括上述货物外，还包括随附的技术文档、设备运行所必需的随机消耗品（如箱包等)，相应的技术服务与质量保证文件。</w:t>
      </w:r>
    </w:p>
    <w:p w14:paraId="75418F86">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四、甲乙双方的权利和义务</w:t>
      </w:r>
      <w:r>
        <w:rPr>
          <w:rFonts w:hint="eastAsia" w:ascii="宋体" w:hAnsi="宋体" w:cs="宋体"/>
          <w:b/>
          <w:color w:val="auto"/>
          <w:sz w:val="24"/>
          <w:szCs w:val="24"/>
          <w:highlight w:val="none"/>
          <w:lang w:eastAsia="zh-CN"/>
        </w:rPr>
        <w:t>：</w:t>
      </w:r>
    </w:p>
    <w:p w14:paraId="1D6ECAF5">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(一)甲方的权利和义务</w:t>
      </w:r>
    </w:p>
    <w:p w14:paraId="7C6F27D3">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1、负责合同签订后项目的配合，协调工作(如与乙方的具体联系和衔接，设备现场安装调试或项目建设施工时和相关人员进行协调、配合)。</w:t>
      </w:r>
    </w:p>
    <w:p w14:paraId="2C021EDB">
      <w:pPr>
        <w:keepNext w:val="0"/>
        <w:keepLines w:val="0"/>
        <w:pageBreakBefore w:val="0"/>
        <w:widowControl/>
        <w:kinsoku/>
        <w:wordWrap/>
        <w:overflowPunct/>
        <w:topLinePunct w:val="0"/>
        <w:autoSpaceDE/>
        <w:autoSpaceDN/>
        <w:bidi w:val="0"/>
        <w:adjustRightInd/>
        <w:snapToGrid/>
        <w:spacing w:line="52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2、负责提供设备和安装调试或项目建设施工所必须的场地和环境。</w:t>
      </w:r>
    </w:p>
    <w:p w14:paraId="6D590CD1">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3、负责组织成立验收小组对设备或项目进行验收并签署验收报告。</w:t>
      </w:r>
    </w:p>
    <w:p w14:paraId="04676FCC">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4、按合同约定享有乙方提供的设备和项目服务。</w:t>
      </w:r>
    </w:p>
    <w:p w14:paraId="37D6F1E0">
      <w:pPr>
        <w:keepNext w:val="0"/>
        <w:keepLines w:val="0"/>
        <w:pageBreakBefore w:val="0"/>
        <w:widowControl/>
        <w:kinsoku/>
        <w:wordWrap/>
        <w:overflowPunct/>
        <w:topLinePunct w:val="0"/>
        <w:autoSpaceDE/>
        <w:autoSpaceDN/>
        <w:bidi w:val="0"/>
        <w:adjustRightInd/>
        <w:snapToGrid/>
        <w:spacing w:line="520" w:lineRule="exact"/>
        <w:ind w:firstLine="360" w:firstLineChars="1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(二)乙方的权利和义务</w:t>
      </w:r>
    </w:p>
    <w:p w14:paraId="03319A8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1、乙方保证按本合同一、二、三、四条款负责完成甲方项目，并保证提供的设备是全新(包括零部件)、符合</w:t>
      </w:r>
      <w:r>
        <w:rPr>
          <w:rFonts w:hint="eastAsia" w:ascii="宋体" w:hAnsi="宋体" w:cs="宋体"/>
          <w:color w:val="auto"/>
          <w:sz w:val="24"/>
          <w:szCs w:val="24"/>
          <w:highlight w:val="none"/>
          <w:lang w:eastAsia="zh-CN"/>
        </w:rPr>
        <w:t>招标文件</w:t>
      </w:r>
      <w:r>
        <w:rPr>
          <w:rFonts w:hint="eastAsia" w:ascii="宋体" w:hAnsi="宋体" w:eastAsia="宋体" w:cs="宋体"/>
          <w:color w:val="auto"/>
          <w:sz w:val="24"/>
          <w:szCs w:val="24"/>
          <w:highlight w:val="none"/>
        </w:rPr>
        <w:t>规定、具有国家有关部门注册并符合国家质量检测标准(进口产品具有国家有关部门完整手续)和产品出厂标准的设备，设备到位后能够匹配整体投入使用。</w:t>
      </w:r>
    </w:p>
    <w:p w14:paraId="297670B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保证提供的设备及其它产品不是翻新机、二手机、样机、走私机、库存机、故障机等，不是慈善工程、扶贫工程等产品，若甲方在验收时或验收后发现乙方提供的设备及其它产品属于上述机型、产品，甲方有拒绝验收、退货、拒绝付款等权利。</w:t>
      </w:r>
    </w:p>
    <w:p w14:paraId="5FF29000">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3、保证甲方在合同设备或项目(有配套软件的还包括软件产品)使用期间不受第三方提出侵犯其专利权、商标权和工业设计权等相关权利的起诉。</w:t>
      </w:r>
    </w:p>
    <w:p w14:paraId="5F0B32F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4、严格遵守投标、技术澄清、商务谈判、中标所承诺的一切规定和条款。</w:t>
      </w:r>
    </w:p>
    <w:p w14:paraId="0D439F1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5、参与甲方共同进行设备和项目的验收。</w:t>
      </w:r>
    </w:p>
    <w:p w14:paraId="7F0A7C7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6、乙方提供的设备在质保期内出现质量、性能、效果等问题，必要时免费更换配件或整机。</w:t>
      </w:r>
    </w:p>
    <w:p w14:paraId="1F425A6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7、乙方提供现场技术培训，保证使用人员正常操作设备的各种功能。</w:t>
      </w:r>
    </w:p>
    <w:p w14:paraId="4C723D5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8、乙方享有甲方按合同约定付款。</w:t>
      </w:r>
    </w:p>
    <w:p w14:paraId="3772B5EA">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五、设备保修：</w:t>
      </w:r>
    </w:p>
    <w:p w14:paraId="0142074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1、自验收合格之日起原厂整机保修</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整机保修期满后发生的维修收取合理的材料费和工时费。</w:t>
      </w:r>
    </w:p>
    <w:p w14:paraId="02395BCA">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2、报修响应时间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小时内响应，</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24</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小时内到现场解决问题。</w:t>
      </w:r>
    </w:p>
    <w:p w14:paraId="7D0B8074">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六、技术支持</w:t>
      </w:r>
      <w:r>
        <w:rPr>
          <w:rFonts w:hint="eastAsia" w:ascii="宋体" w:hAnsi="宋体" w:cs="宋体"/>
          <w:color w:val="auto"/>
          <w:sz w:val="24"/>
          <w:szCs w:val="24"/>
          <w:highlight w:val="none"/>
          <w:lang w:eastAsia="zh-CN"/>
        </w:rPr>
        <w:t>：</w:t>
      </w:r>
    </w:p>
    <w:p w14:paraId="296FB5D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1、甲方在设备使用过程中发生技术质量问题，乙方应提供及时有效的技术支持。</w:t>
      </w:r>
    </w:p>
    <w:p w14:paraId="5DD317F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2、乙方应向甲方提供在省内的维修服务中心、特约维修服务站等售后服务网点的名单、联系地址、联系电话。</w:t>
      </w:r>
    </w:p>
    <w:p w14:paraId="11019E27">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技术支持电话</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7EDC8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3、在保修期内应定期提供预防性保养服务</w:t>
      </w:r>
      <w:r>
        <w:rPr>
          <w:rFonts w:hint="eastAsia" w:ascii="宋体" w:hAnsi="宋体" w:eastAsia="宋体" w:cs="宋体"/>
          <w:color w:val="auto"/>
          <w:sz w:val="24"/>
          <w:szCs w:val="24"/>
          <w:highlight w:val="none"/>
          <w:u w:val="single"/>
        </w:rPr>
        <w:t>2次/年</w:t>
      </w:r>
      <w:r>
        <w:rPr>
          <w:rFonts w:hint="eastAsia" w:ascii="宋体" w:hAnsi="宋体" w:eastAsia="宋体" w:cs="宋体"/>
          <w:color w:val="auto"/>
          <w:sz w:val="24"/>
          <w:szCs w:val="24"/>
          <w:highlight w:val="none"/>
        </w:rPr>
        <w:t>以上，所需费用由乙方承担。</w:t>
      </w:r>
    </w:p>
    <w:p w14:paraId="04DCA925">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六、验收及验收标准</w:t>
      </w:r>
      <w:r>
        <w:rPr>
          <w:rFonts w:hint="eastAsia" w:ascii="宋体" w:hAnsi="宋体" w:cs="宋体"/>
          <w:b/>
          <w:color w:val="auto"/>
          <w:sz w:val="24"/>
          <w:szCs w:val="24"/>
          <w:highlight w:val="none"/>
          <w:lang w:eastAsia="zh-CN"/>
        </w:rPr>
        <w:t>：</w:t>
      </w:r>
    </w:p>
    <w:p w14:paraId="0C1268CF">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1、设备验收</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设备到达甲方指定地点后甲乙双方统一验收是否符合合同要求。</w:t>
      </w:r>
    </w:p>
    <w:p w14:paraId="14670BF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设备交验地点和方式</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合同签订后，乙方负责将完整配套的原封设备(含开机必要消耗品)送到甲方指定的地点</w:t>
      </w:r>
      <w:r>
        <w:rPr>
          <w:rFonts w:hint="eastAsia" w:ascii="宋体" w:hAnsi="宋体" w:eastAsia="宋体" w:cs="宋体"/>
          <w:color w:val="auto"/>
          <w:sz w:val="24"/>
          <w:szCs w:val="24"/>
          <w:highlight w:val="none"/>
          <w:u w:val="single"/>
        </w:rPr>
        <w:t>(红河州第二人民医院</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即本合同履行地</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由甲乙双方共同开箱验收，并由乙方按规范要求完成安装及测试等；交货时，乙方随货向甲方交付设备必需的合格证，保修卡，相关资料(如操作手册、使用指南、维修手册、安装调试说明书、服务手册等)及配备的用件、工具等；货物到达指定交货地点后，将由甲方和乙方进行集中验货，若开箱加电测试发现不合格的货物，乙方必须予以更换。在货物最终验收后的质量保证期，乙方应对由于设计、工艺或者材料的缺陷而发生的任何不足或故障负责，费用由乙方承担。</w:t>
      </w:r>
    </w:p>
    <w:p w14:paraId="11CE5C56">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2、项目验收</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设备安装和调试或项目建设施工完成后，甲方检验、测试是否合格并满足招标技术要求。需要国家相关部门或第三方检测的，须通过检测合格后方可视为验收合格，检测费用由乙方承担。验收过程中，出现下列情况之一，即视为验收不合格：（1）设备质量、性能、效果不能满足招标技术要求及验收标准；（2）货物到达指定交货地点30天内，乙方不能提供完整的技术白皮书加以验证。一旦验收不合格，甲方有权无条件退货并单方面解除合同，同时向相关部门要求作废标处理，除产生的损失由乙方全部承担外，乙方还需向甲方赔偿合同总价</w:t>
      </w:r>
      <w:r>
        <w:rPr>
          <w:rFonts w:hint="eastAsia" w:ascii="宋体" w:hAnsi="宋体" w:eastAsia="宋体" w:cs="宋体"/>
          <w:color w:val="auto"/>
          <w:sz w:val="24"/>
          <w:szCs w:val="24"/>
          <w:highlight w:val="none"/>
          <w:lang w:val="en-US" w:eastAsia="zh-CN"/>
        </w:rPr>
        <w:t>10%的违约金</w:t>
      </w:r>
      <w:r>
        <w:rPr>
          <w:rFonts w:hint="eastAsia" w:ascii="宋体" w:hAnsi="宋体" w:eastAsia="宋体" w:cs="宋体"/>
          <w:color w:val="auto"/>
          <w:sz w:val="24"/>
          <w:szCs w:val="24"/>
          <w:highlight w:val="none"/>
        </w:rPr>
        <w:t>。</w:t>
      </w:r>
    </w:p>
    <w:p w14:paraId="320E2268">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3、验收标准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按国家、行业或厂家标准</w:t>
      </w:r>
      <w:r>
        <w:rPr>
          <w:rFonts w:hint="eastAsia" w:ascii="宋体" w:hAnsi="宋体" w:cs="宋体"/>
          <w:color w:val="auto"/>
          <w:sz w:val="24"/>
          <w:szCs w:val="24"/>
          <w:highlight w:val="none"/>
          <w:lang w:eastAsia="zh-CN"/>
        </w:rPr>
        <w:t>.</w:t>
      </w:r>
    </w:p>
    <w:p w14:paraId="12E476AE">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4、乙方需提供完整的进口产品手续（如非整机进口，需提供核心部件），如报关单、商检证等，如乙方无法提供则视为验收不合格，甲方不予支付任何款项。</w:t>
      </w:r>
    </w:p>
    <w:p w14:paraId="29989DA7">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5、必须免费开放DICOM端口、Work list列表，有静态密码、动态密码的设备也应免费提供，在设备需要接入医院信息系统时，尚需免费配合信息科做好相关对接工作。</w:t>
      </w:r>
    </w:p>
    <w:p w14:paraId="340A54BD">
      <w:pPr>
        <w:widowControl/>
        <w:spacing w:line="500" w:lineRule="exact"/>
        <w:ind w:firstLine="482" w:firstLineChars="200"/>
        <w:jc w:val="left"/>
        <w:rPr>
          <w:rFonts w:hint="eastAsia" w:ascii="宋体" w:hAnsi="宋体" w:eastAsia="宋体" w:cs="宋体"/>
          <w:b/>
          <w:color w:val="0070C0"/>
          <w:sz w:val="24"/>
          <w:highlight w:val="none"/>
          <w:lang w:eastAsia="zh-CN"/>
        </w:rPr>
      </w:pPr>
      <w:r>
        <w:rPr>
          <w:rFonts w:hint="eastAsia" w:ascii="宋体" w:hAnsi="宋体" w:eastAsia="宋体" w:cs="宋体"/>
          <w:b/>
          <w:color w:val="auto"/>
          <w:sz w:val="24"/>
          <w:szCs w:val="24"/>
          <w:highlight w:val="none"/>
        </w:rPr>
        <w:t>七、合同价款结算</w:t>
      </w:r>
      <w:r>
        <w:rPr>
          <w:rFonts w:hint="eastAsia" w:ascii="宋体" w:hAnsi="宋体" w:cs="宋体"/>
          <w:b/>
          <w:color w:val="auto"/>
          <w:sz w:val="24"/>
          <w:szCs w:val="24"/>
          <w:highlight w:val="none"/>
          <w:lang w:eastAsia="zh-CN"/>
        </w:rPr>
        <w:t>：</w:t>
      </w:r>
      <w:r>
        <w:rPr>
          <w:rFonts w:hint="eastAsia" w:ascii="宋体" w:hAnsi="宋体" w:eastAsia="宋体" w:cs="宋体"/>
          <w:b/>
          <w:color w:val="0070C0"/>
          <w:sz w:val="24"/>
          <w:highlight w:val="none"/>
          <w:lang w:eastAsia="zh-CN"/>
        </w:rPr>
        <w:t>（待双方协商约定）</w:t>
      </w:r>
    </w:p>
    <w:p w14:paraId="2A4F9FC1">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八、违约责任</w:t>
      </w:r>
      <w:r>
        <w:rPr>
          <w:rFonts w:hint="eastAsia" w:ascii="宋体" w:hAnsi="宋体" w:cs="宋体"/>
          <w:b/>
          <w:color w:val="auto"/>
          <w:sz w:val="24"/>
          <w:szCs w:val="24"/>
          <w:highlight w:val="none"/>
          <w:lang w:eastAsia="zh-CN"/>
        </w:rPr>
        <w:t>：</w:t>
      </w:r>
    </w:p>
    <w:p w14:paraId="588D1206">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1、除发生不可抗力事实外，乙方所交设备(或项目)和安装调试（或建设施工)与合同标准不相符合的，甲方有权拒收设备（或项目)；如乙方逾期交货(或完工)，则每日向甲方支付合同总价</w:t>
      </w:r>
      <w:r>
        <w:rPr>
          <w:rFonts w:hint="eastAsia" w:ascii="宋体" w:hAnsi="宋体" w:eastAsia="宋体" w:cs="宋体"/>
          <w:color w:val="auto"/>
          <w:sz w:val="24"/>
          <w:szCs w:val="24"/>
          <w:highlight w:val="none"/>
          <w:lang w:eastAsia="zh-CN"/>
        </w:rPr>
        <w:t>千分之五的违约金</w:t>
      </w:r>
      <w:r>
        <w:rPr>
          <w:rFonts w:hint="eastAsia" w:ascii="宋体" w:hAnsi="宋体" w:eastAsia="宋体" w:cs="宋体"/>
          <w:color w:val="auto"/>
          <w:sz w:val="24"/>
          <w:szCs w:val="24"/>
          <w:highlight w:val="none"/>
        </w:rPr>
        <w:t>；逾期10日仍未能交货，则甲方有权单方解除本合同，同时，乙方还应赔偿甲方损失。</w:t>
      </w:r>
    </w:p>
    <w:p w14:paraId="63B409AF">
      <w:pPr>
        <w:keepNext w:val="0"/>
        <w:keepLines w:val="0"/>
        <w:pageBreakBefore w:val="0"/>
        <w:widowControl/>
        <w:kinsoku/>
        <w:wordWrap/>
        <w:overflowPunct/>
        <w:topLinePunct w:val="0"/>
        <w:autoSpaceDE/>
        <w:autoSpaceDN/>
        <w:bidi w:val="0"/>
        <w:adjustRightInd/>
        <w:snapToGrid/>
        <w:spacing w:line="520" w:lineRule="exact"/>
        <w:ind w:firstLine="240" w:firstLineChars="1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2、乙方应当按照合同约定履行保修、维修义务，否则每违约一次，乙方支付甲方违约金壹万元整（¥：10000</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00元）并赔偿实际损失。</w:t>
      </w:r>
    </w:p>
    <w:p w14:paraId="378E245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3、甲方有权拒付合同价以外的任何费用；乙方有权拒绝合同整体范围以外的条件。</w:t>
      </w:r>
    </w:p>
    <w:p w14:paraId="4F1894B1">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4、乙方提供的设备及其它产品若有质量、性能、效果、服务等问题，医院有权减付、拒付或不付款项，并有自由评说等维护权益的权利。</w:t>
      </w:r>
    </w:p>
    <w:p w14:paraId="4637B07E">
      <w:pPr>
        <w:keepNext w:val="0"/>
        <w:keepLines w:val="0"/>
        <w:pageBreakBefore w:val="0"/>
        <w:widowControl/>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九、甲乙双方在履行合同过程中发生纠纷，应及时向有关监督管理部门反映，以便相关部门进行协调或处理，协商不成时，双方均有权向</w:t>
      </w:r>
      <w:r>
        <w:rPr>
          <w:rFonts w:hint="eastAsia" w:ascii="宋体" w:hAnsi="宋体" w:eastAsia="宋体" w:cs="宋体"/>
          <w:b/>
          <w:color w:val="auto"/>
          <w:sz w:val="24"/>
          <w:szCs w:val="24"/>
          <w:highlight w:val="none"/>
          <w:lang w:eastAsia="zh-CN"/>
        </w:rPr>
        <w:t>甲方所在</w:t>
      </w:r>
      <w:r>
        <w:rPr>
          <w:rFonts w:hint="eastAsia" w:ascii="宋体" w:hAnsi="宋体" w:eastAsia="宋体" w:cs="宋体"/>
          <w:b/>
          <w:color w:val="auto"/>
          <w:sz w:val="24"/>
          <w:szCs w:val="24"/>
          <w:highlight w:val="none"/>
        </w:rPr>
        <w:t>地人民法院提起诉讼。</w:t>
      </w:r>
    </w:p>
    <w:p w14:paraId="404F580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十、本合同其他未尽事宜，按</w:t>
      </w:r>
      <w:r>
        <w:rPr>
          <w:rFonts w:hint="eastAsia" w:ascii="宋体" w:hAnsi="宋体" w:eastAsia="宋体" w:cs="宋体"/>
          <w:b/>
          <w:color w:val="auto"/>
          <w:sz w:val="24"/>
          <w:szCs w:val="24"/>
          <w:highlight w:val="none"/>
          <w:lang w:eastAsia="zh-CN"/>
        </w:rPr>
        <w:t>《中华人民共和国民法典》</w:t>
      </w:r>
      <w:r>
        <w:rPr>
          <w:rFonts w:hint="eastAsia" w:ascii="宋体" w:hAnsi="宋体" w:eastAsia="宋体" w:cs="宋体"/>
          <w:b/>
          <w:color w:val="auto"/>
          <w:sz w:val="24"/>
          <w:szCs w:val="24"/>
          <w:highlight w:val="none"/>
        </w:rPr>
        <w:t>有关规定处理。</w:t>
      </w:r>
    </w:p>
    <w:p w14:paraId="7E8986BD">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十一、本合同一式贰份，甲方执壹份，乙方执壹份。</w:t>
      </w:r>
    </w:p>
    <w:p w14:paraId="1E9595C1">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十二、本合同自甲、乙双方签字，盖章后生效。</w:t>
      </w:r>
    </w:p>
    <w:p w14:paraId="063EAAC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十三、本合同不可分割之部分</w:t>
      </w:r>
      <w:r>
        <w:rPr>
          <w:rFonts w:hint="eastAsia" w:ascii="宋体" w:hAnsi="宋体" w:cs="宋体"/>
          <w:b/>
          <w:color w:val="auto"/>
          <w:sz w:val="24"/>
          <w:szCs w:val="24"/>
          <w:highlight w:val="none"/>
          <w:lang w:eastAsia="zh-CN"/>
        </w:rPr>
        <w:t>：</w:t>
      </w:r>
    </w:p>
    <w:p w14:paraId="1A342F18">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1、招标人</w:t>
      </w:r>
      <w:r>
        <w:rPr>
          <w:rFonts w:hint="eastAsia" w:ascii="宋体" w:hAnsi="宋体" w:cs="宋体"/>
          <w:color w:val="auto"/>
          <w:sz w:val="24"/>
          <w:szCs w:val="24"/>
          <w:highlight w:val="none"/>
          <w:lang w:eastAsia="zh-CN"/>
        </w:rPr>
        <w:t>招标文件</w:t>
      </w:r>
      <w:r>
        <w:rPr>
          <w:rFonts w:hint="eastAsia" w:ascii="宋体" w:hAnsi="宋体" w:eastAsia="宋体" w:cs="宋体"/>
          <w:color w:val="auto"/>
          <w:sz w:val="24"/>
          <w:szCs w:val="24"/>
          <w:highlight w:val="none"/>
        </w:rPr>
        <w:t>。</w:t>
      </w:r>
    </w:p>
    <w:p w14:paraId="243E29BB">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2、中标人投标文件或澄清及谈判文件。</w:t>
      </w:r>
    </w:p>
    <w:p w14:paraId="64F48AB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3、合同书附件。</w:t>
      </w:r>
    </w:p>
    <w:p w14:paraId="1AAA8F0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4、中标人中标通知书。</w:t>
      </w:r>
    </w:p>
    <w:p w14:paraId="2B19202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5、合同标的物配置清单。</w:t>
      </w:r>
    </w:p>
    <w:p w14:paraId="5B9BAE7E">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6、乙方确认函。</w:t>
      </w:r>
    </w:p>
    <w:p w14:paraId="1A4391C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甲方（采购人）名称：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乙方(供应商)名称</w:t>
      </w:r>
      <w:r>
        <w:rPr>
          <w:rFonts w:hint="eastAsia" w:ascii="宋体" w:hAnsi="宋体" w:cs="宋体"/>
          <w:b/>
          <w:color w:val="auto"/>
          <w:sz w:val="24"/>
          <w:szCs w:val="24"/>
          <w:highlight w:val="none"/>
          <w:lang w:eastAsia="zh-CN"/>
        </w:rPr>
        <w:t>：</w:t>
      </w:r>
    </w:p>
    <w:p w14:paraId="0BAA5BF9">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红河州第二人民医院                </w:t>
      </w:r>
    </w:p>
    <w:p w14:paraId="066B3097">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地址：建水县泽园路28号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地址</w:t>
      </w:r>
      <w:r>
        <w:rPr>
          <w:rFonts w:hint="eastAsia" w:ascii="宋体" w:hAnsi="宋体" w:cs="宋体"/>
          <w:b/>
          <w:color w:val="auto"/>
          <w:sz w:val="24"/>
          <w:szCs w:val="24"/>
          <w:highlight w:val="none"/>
          <w:lang w:eastAsia="zh-CN"/>
        </w:rPr>
        <w:t>：</w:t>
      </w:r>
    </w:p>
    <w:p w14:paraId="2D5A1230">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电话：0873-7619172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电话</w:t>
      </w:r>
      <w:r>
        <w:rPr>
          <w:rFonts w:hint="eastAsia" w:ascii="宋体" w:hAnsi="宋体" w:cs="宋体"/>
          <w:b/>
          <w:color w:val="auto"/>
          <w:sz w:val="24"/>
          <w:szCs w:val="24"/>
          <w:highlight w:val="none"/>
          <w:lang w:eastAsia="zh-CN"/>
        </w:rPr>
        <w:t>：</w:t>
      </w:r>
    </w:p>
    <w:p w14:paraId="3323B688">
      <w:pPr>
        <w:keepNext w:val="0"/>
        <w:keepLines w:val="0"/>
        <w:pageBreakBefore w:val="0"/>
        <w:widowControl/>
        <w:kinsoku/>
        <w:wordWrap/>
        <w:overflowPunct/>
        <w:topLinePunct w:val="0"/>
        <w:autoSpaceDE/>
        <w:autoSpaceDN/>
        <w:bidi w:val="0"/>
        <w:adjustRightInd/>
        <w:snapToGrid/>
        <w:spacing w:line="520" w:lineRule="exact"/>
        <w:ind w:left="964" w:hanging="964" w:hangingChars="400"/>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甲方法人代表</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开户行</w:t>
      </w:r>
      <w:r>
        <w:rPr>
          <w:rFonts w:hint="eastAsia" w:ascii="宋体" w:hAnsi="宋体" w:cs="宋体"/>
          <w:b/>
          <w:color w:val="auto"/>
          <w:sz w:val="24"/>
          <w:szCs w:val="24"/>
          <w:highlight w:val="none"/>
          <w:lang w:eastAsia="zh-CN"/>
        </w:rPr>
        <w:t>：</w:t>
      </w:r>
    </w:p>
    <w:p w14:paraId="3B0D3205">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 xml:space="preserve">甲方授权委托人：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账号</w:t>
      </w:r>
      <w:r>
        <w:rPr>
          <w:rFonts w:hint="eastAsia" w:ascii="宋体" w:hAnsi="宋体" w:cs="宋体"/>
          <w:b/>
          <w:color w:val="auto"/>
          <w:sz w:val="24"/>
          <w:szCs w:val="24"/>
          <w:highlight w:val="none"/>
          <w:lang w:eastAsia="zh-CN"/>
        </w:rPr>
        <w:t>：</w:t>
      </w:r>
    </w:p>
    <w:p w14:paraId="7E82B53A">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甲方经办人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乙方法人代表：</w:t>
      </w:r>
    </w:p>
    <w:p w14:paraId="1FD7D117">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Times New Roman" w:hAnsi="Times New Roman" w:eastAsia="宋体" w:cs="Times New Roman"/>
          <w:color w:val="auto"/>
          <w:sz w:val="21"/>
          <w:highlight w:val="none"/>
          <w:lang w:val="en-US" w:eastAsia="zh-CN" w:bidi="ar-SA"/>
        </w:rPr>
      </w:pPr>
      <w:r>
        <w:rPr>
          <w:rFonts w:hint="eastAsia" w:ascii="宋体" w:hAnsi="宋体" w:eastAsia="宋体" w:cs="宋体"/>
          <w:b/>
          <w:color w:val="auto"/>
          <w:sz w:val="24"/>
          <w:szCs w:val="24"/>
          <w:highlight w:val="none"/>
        </w:rPr>
        <w:t>日期</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年   月   日          </w: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4"/>
          <w:szCs w:val="24"/>
          <w:highlight w:val="none"/>
        </w:rPr>
        <w:t>日期</w:t>
      </w:r>
      <w:r>
        <w:rPr>
          <w:rFonts w:hint="eastAsia" w:ascii="宋体" w:hAnsi="宋体" w:cs="宋体"/>
          <w:b/>
          <w:color w:val="auto"/>
          <w:sz w:val="24"/>
          <w:szCs w:val="24"/>
          <w:highlight w:val="none"/>
          <w:lang w:eastAsia="zh-CN"/>
        </w:rPr>
        <w:t>：</w:t>
      </w:r>
      <w:r>
        <w:rPr>
          <w:rFonts w:hint="eastAsia" w:ascii="宋体" w:hAnsi="宋体" w:eastAsia="宋体" w:cs="宋体"/>
          <w:b/>
          <w:color w:val="auto"/>
          <w:sz w:val="24"/>
          <w:szCs w:val="24"/>
          <w:highlight w:val="none"/>
        </w:rPr>
        <w:t xml:space="preserve">    年    月    日</w:t>
      </w:r>
    </w:p>
    <w:p w14:paraId="6F3CDAC8">
      <w:pPr>
        <w:pStyle w:val="2"/>
        <w:spacing w:before="0" w:after="0" w:line="360" w:lineRule="auto"/>
        <w:jc w:val="center"/>
        <w:rPr>
          <w:rFonts w:hint="eastAsia" w:ascii="宋体" w:hAnsi="宋体" w:eastAsia="宋体" w:cs="宋体"/>
          <w:i w:val="0"/>
          <w:iCs w:val="0"/>
          <w:color w:val="auto"/>
          <w:highlight w:val="none"/>
          <w:lang w:eastAsia="zh-CN"/>
        </w:rPr>
      </w:pPr>
      <w:r>
        <w:rPr>
          <w:rFonts w:hint="eastAsia" w:ascii="宋体" w:hAnsi="宋体" w:cs="宋体"/>
          <w:i w:val="0"/>
          <w:iCs w:val="0"/>
          <w:color w:val="auto"/>
          <w:highlight w:val="none"/>
        </w:rPr>
        <w:br w:type="page"/>
      </w:r>
      <w:bookmarkStart w:id="244" w:name="_Toc3397767"/>
      <w:bookmarkStart w:id="245" w:name="_Toc8577"/>
      <w:bookmarkStart w:id="246" w:name="_Toc14717"/>
      <w:r>
        <w:rPr>
          <w:rFonts w:hint="eastAsia" w:ascii="宋体" w:hAnsi="宋体" w:cs="宋体"/>
          <w:i w:val="0"/>
          <w:iCs w:val="0"/>
          <w:color w:val="auto"/>
          <w:highlight w:val="none"/>
        </w:rPr>
        <w:t xml:space="preserve">第五章 </w:t>
      </w:r>
      <w:bookmarkEnd w:id="244"/>
      <w:bookmarkEnd w:id="245"/>
      <w:r>
        <w:rPr>
          <w:rFonts w:hint="eastAsia" w:ascii="宋体" w:hAnsi="宋体" w:cs="宋体"/>
          <w:i w:val="0"/>
          <w:iCs w:val="0"/>
          <w:color w:val="auto"/>
          <w:highlight w:val="none"/>
          <w:lang w:eastAsia="zh-CN"/>
        </w:rPr>
        <w:t>采购内容及要求</w:t>
      </w:r>
      <w:bookmarkEnd w:id="246"/>
    </w:p>
    <w:p w14:paraId="0E3E43EC">
      <w:pPr>
        <w:spacing w:line="360" w:lineRule="auto"/>
        <w:rPr>
          <w:rFonts w:hint="eastAsia" w:ascii="宋体" w:hAnsi="宋体" w:eastAsia="宋体" w:cs="宋体"/>
          <w:i w:val="0"/>
          <w:iCs w:val="0"/>
          <w:color w:val="auto"/>
          <w:sz w:val="24"/>
          <w:szCs w:val="24"/>
          <w:highlight w:val="none"/>
          <w:lang w:val="en-US" w:eastAsia="zh-CN"/>
        </w:rPr>
      </w:pPr>
    </w:p>
    <w:p w14:paraId="51CC8BE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0" w:beforeAutospacing="0" w:after="0" w:afterAutospacing="0" w:line="360" w:lineRule="auto"/>
        <w:ind w:right="0"/>
        <w:contextualSpacing w:val="0"/>
        <w:jc w:val="left"/>
        <w:textAlignment w:val="auto"/>
        <w:outlineLvl w:val="9"/>
        <w:rPr>
          <w:rFonts w:hint="eastAsia" w:ascii="仿宋_GB2312" w:eastAsia="仿宋_GB2312"/>
          <w:b/>
          <w:bCs/>
          <w:caps w:val="0"/>
          <w:smallCaps w:val="0"/>
          <w:snapToGrid/>
          <w:vanish w:val="0"/>
          <w:color w:val="auto"/>
          <w:sz w:val="28"/>
          <w:szCs w:val="28"/>
          <w:vertAlign w:val="baseline"/>
        </w:rPr>
      </w:pPr>
      <w:r>
        <w:rPr>
          <w:rFonts w:hint="eastAsia" w:ascii="仿宋" w:eastAsia="仿宋" w:cs="仿宋"/>
          <w:color w:val="auto"/>
          <w:sz w:val="28"/>
          <w:szCs w:val="28"/>
          <w:lang w:val="zh-CN"/>
        </w:rPr>
        <w:t>★</w:t>
      </w:r>
      <w:r>
        <w:rPr>
          <w:rFonts w:hint="eastAsia" w:ascii="仿宋_GB2312" w:eastAsia="仿宋_GB2312"/>
          <w:b/>
          <w:bCs/>
          <w:caps w:val="0"/>
          <w:smallCaps w:val="0"/>
          <w:snapToGrid/>
          <w:vanish w:val="0"/>
          <w:color w:val="auto"/>
          <w:sz w:val="28"/>
          <w:szCs w:val="28"/>
          <w:vertAlign w:val="baseline"/>
        </w:rPr>
        <w:t>适应症</w:t>
      </w:r>
      <w:r>
        <w:rPr>
          <w:rFonts w:hint="eastAsia" w:ascii="仿宋_GB2312" w:eastAsia="仿宋_GB2312"/>
          <w:bCs/>
          <w:caps w:val="0"/>
          <w:smallCaps w:val="0"/>
          <w:snapToGrid/>
          <w:vanish w:val="0"/>
          <w:color w:val="auto"/>
          <w:sz w:val="28"/>
          <w:szCs w:val="28"/>
          <w:vertAlign w:val="baseline"/>
        </w:rPr>
        <w:t>：</w:t>
      </w:r>
      <w:r>
        <w:rPr>
          <w:rFonts w:hint="eastAsia" w:ascii="仿宋_GB2312" w:eastAsia="仿宋_GB2312"/>
          <w:bCs/>
          <w:caps w:val="0"/>
          <w:smallCaps w:val="0"/>
          <w:snapToGrid/>
          <w:vanish w:val="0"/>
          <w:color w:val="auto"/>
          <w:sz w:val="28"/>
          <w:szCs w:val="28"/>
          <w:vertAlign w:val="baseline"/>
        </w:rPr>
        <w:t>该产品在医疗机构中使用，用于缓解按照临床诊疗规范进行规范用药的中、重度抑郁症成人患者的抑郁症状。</w:t>
      </w:r>
    </w:p>
    <w:p w14:paraId="1E19B535">
      <w:pPr>
        <w:tabs>
          <w:tab w:val="left" w:pos="2520"/>
        </w:tabs>
        <w:spacing w:line="360" w:lineRule="auto"/>
        <w:rPr>
          <w:rFonts w:hint="eastAsia" w:ascii="仿宋_GB2312" w:eastAsia="仿宋_GB2312"/>
          <w:b/>
          <w:bCs/>
          <w:sz w:val="28"/>
          <w:szCs w:val="28"/>
          <w:lang w:val="en-US" w:eastAsia="zh-CN"/>
        </w:rPr>
      </w:pPr>
      <w:r>
        <w:rPr>
          <w:rFonts w:hint="eastAsia" w:ascii="仿宋" w:eastAsia="仿宋" w:cs="仿宋"/>
          <w:color w:val="auto"/>
          <w:sz w:val="28"/>
          <w:szCs w:val="28"/>
          <w:lang w:val="zh-CN"/>
        </w:rPr>
        <w:t>★</w:t>
      </w:r>
      <w:r>
        <w:rPr>
          <w:rFonts w:hint="eastAsia" w:ascii="仿宋_GB2312" w:eastAsia="仿宋_GB2312"/>
          <w:b/>
          <w:bCs/>
          <w:caps w:val="0"/>
          <w:smallCaps w:val="0"/>
          <w:snapToGrid/>
          <w:vanish w:val="0"/>
          <w:color w:val="auto"/>
          <w:sz w:val="28"/>
          <w:szCs w:val="28"/>
          <w:vertAlign w:val="baseline"/>
        </w:rPr>
        <w:t>注册管理类别：第三类</w:t>
      </w:r>
      <w:r>
        <w:rPr>
          <w:rFonts w:hint="eastAsia" w:ascii="仿宋_GB2312" w:eastAsia="仿宋_GB2312"/>
          <w:b/>
          <w:bCs/>
          <w:caps w:val="0"/>
          <w:smallCaps w:val="0"/>
          <w:snapToGrid/>
          <w:vanish w:val="0"/>
          <w:color w:val="auto"/>
          <w:sz w:val="28"/>
          <w:szCs w:val="28"/>
          <w:vertAlign w:val="baseline"/>
          <w:lang w:val="en-US" w:eastAsia="zh-CN"/>
        </w:rPr>
        <w:t xml:space="preserve"> </w:t>
      </w:r>
    </w:p>
    <w:p w14:paraId="4DB19F22">
      <w:pPr>
        <w:spacing w:line="360" w:lineRule="auto"/>
        <w:jc w:val="left"/>
        <w:rPr>
          <w:rFonts w:ascii="仿宋_GB2312" w:eastAsia="仿宋_GB2312"/>
          <w:b/>
          <w:color w:val="auto"/>
          <w:sz w:val="28"/>
          <w:szCs w:val="28"/>
          <w:lang w:val="en-US" w:eastAsia="zh-CN"/>
        </w:rPr>
      </w:pPr>
      <w:r>
        <w:rPr>
          <w:rFonts w:ascii="仿宋_GB2312" w:eastAsia="仿宋_GB2312"/>
          <w:b/>
          <w:color w:val="auto"/>
          <w:sz w:val="28"/>
          <w:szCs w:val="28"/>
          <w:lang w:val="en-US" w:eastAsia="zh-CN"/>
        </w:rPr>
        <w:t>1.主机</w:t>
      </w:r>
      <w:r>
        <w:rPr>
          <w:rFonts w:hint="eastAsia" w:ascii="仿宋_GB2312" w:eastAsia="仿宋_GB2312"/>
          <w:b/>
          <w:color w:val="auto"/>
          <w:sz w:val="28"/>
          <w:szCs w:val="28"/>
          <w:lang w:val="en-US" w:eastAsia="zh-CN"/>
        </w:rPr>
        <w:t>：</w:t>
      </w:r>
    </w:p>
    <w:p w14:paraId="1D485EAC">
      <w:pPr>
        <w:numPr>
          <w:ilvl w:val="1"/>
          <w:numId w:val="7"/>
        </w:numPr>
        <w:spacing w:line="360" w:lineRule="auto"/>
        <w:ind w:left="0" w:firstLine="0"/>
        <w:rPr>
          <w:rFonts w:ascii="仿宋_GB2312" w:eastAsia="仿宋_GB2312"/>
          <w:b/>
          <w:color w:val="auto"/>
          <w:sz w:val="28"/>
          <w:szCs w:val="28"/>
          <w:lang w:val="en-US" w:eastAsia="zh-CN"/>
        </w:rPr>
      </w:pPr>
      <w:r>
        <w:rPr>
          <w:rFonts w:hint="eastAsia" w:ascii="仿宋" w:eastAsia="仿宋" w:cs="仿宋"/>
          <w:b/>
          <w:bCs/>
          <w:color w:val="auto"/>
          <w:sz w:val="28"/>
          <w:szCs w:val="28"/>
        </w:rPr>
        <w:t>一体式可推移整机结构：</w:t>
      </w:r>
      <w:r>
        <w:rPr>
          <w:rFonts w:ascii="仿宋" w:eastAsia="仿宋" w:cs="仿宋"/>
          <w:b/>
          <w:bCs/>
          <w:color w:val="auto"/>
          <w:sz w:val="28"/>
          <w:szCs w:val="28"/>
          <w:lang w:val="en-US" w:eastAsia="zh-CN"/>
        </w:rPr>
        <w:t>（提供产</w:t>
      </w:r>
      <w:r>
        <w:rPr>
          <w:rFonts w:hint="eastAsia" w:ascii="仿宋_GB2312" w:eastAsia="仿宋_GB2312" w:cs="Arial"/>
          <w:b/>
          <w:bCs/>
          <w:color w:val="auto"/>
          <w:sz w:val="28"/>
          <w:szCs w:val="28"/>
          <w:lang w:val="en-US" w:eastAsia="zh-CN"/>
        </w:rPr>
        <w:t>品图</w:t>
      </w:r>
      <w:r>
        <w:rPr>
          <w:rFonts w:ascii="仿宋_GB2312" w:eastAsia="仿宋_GB2312" w:cs="Arial"/>
          <w:b/>
          <w:bCs/>
          <w:color w:val="auto"/>
          <w:sz w:val="28"/>
          <w:szCs w:val="28"/>
          <w:lang w:val="en-US" w:eastAsia="zh-CN"/>
        </w:rPr>
        <w:t>证明</w:t>
      </w:r>
      <w:r>
        <w:rPr>
          <w:rFonts w:hint="eastAsia" w:ascii="仿宋_GB2312" w:eastAsia="仿宋_GB2312" w:cs="Arial"/>
          <w:b/>
          <w:bCs/>
          <w:color w:val="auto"/>
          <w:sz w:val="28"/>
          <w:szCs w:val="28"/>
          <w:lang w:val="en-US" w:eastAsia="zh-CN"/>
        </w:rPr>
        <w:t>）</w:t>
      </w:r>
    </w:p>
    <w:p w14:paraId="089135AB">
      <w:pPr>
        <w:numPr>
          <w:ilvl w:val="0"/>
          <w:numId w:val="0"/>
        </w:numPr>
        <w:spacing w:line="360" w:lineRule="auto"/>
        <w:rPr>
          <w:rFonts w:hint="eastAsia" w:ascii="仿宋" w:eastAsia="仿宋" w:cs="仿宋"/>
          <w:color w:val="auto"/>
          <w:sz w:val="28"/>
          <w:szCs w:val="28"/>
        </w:rPr>
      </w:pPr>
      <w:r>
        <w:rPr>
          <w:rFonts w:hint="eastAsia" w:ascii="仿宋" w:eastAsia="仿宋" w:cs="仿宋"/>
          <w:color w:val="auto"/>
          <w:sz w:val="28"/>
          <w:szCs w:val="28"/>
          <w:lang w:val="en-US" w:eastAsia="zh-CN"/>
        </w:rPr>
        <w:t>1.1.1</w:t>
      </w:r>
      <w:r>
        <w:rPr>
          <w:rFonts w:hint="eastAsia" w:ascii="仿宋" w:eastAsia="仿宋" w:cs="仿宋"/>
          <w:color w:val="auto"/>
          <w:sz w:val="28"/>
          <w:szCs w:val="28"/>
          <w:lang w:val="zh-CN"/>
        </w:rPr>
        <w:t>★</w:t>
      </w:r>
      <w:r>
        <w:rPr>
          <w:rFonts w:hint="eastAsia" w:ascii="仿宋" w:eastAsia="仿宋" w:cs="仿宋"/>
          <w:color w:val="auto"/>
          <w:sz w:val="28"/>
          <w:szCs w:val="28"/>
        </w:rPr>
        <w:t>静音脚轮设计；</w:t>
      </w:r>
    </w:p>
    <w:p w14:paraId="115D48EA">
      <w:pPr>
        <w:numPr>
          <w:ilvl w:val="0"/>
          <w:numId w:val="0"/>
        </w:numPr>
        <w:spacing w:line="360" w:lineRule="auto"/>
        <w:rPr>
          <w:rFonts w:hint="eastAsia" w:ascii="仿宋" w:eastAsia="仿宋" w:cs="仿宋"/>
          <w:color w:val="auto"/>
          <w:sz w:val="28"/>
          <w:szCs w:val="28"/>
        </w:rPr>
      </w:pPr>
      <w:r>
        <w:rPr>
          <w:rFonts w:hint="eastAsia" w:ascii="仿宋" w:eastAsia="仿宋" w:cs="仿宋"/>
          <w:color w:val="auto"/>
          <w:sz w:val="28"/>
          <w:szCs w:val="28"/>
          <w:lang w:val="en-US" w:eastAsia="zh-CN"/>
        </w:rPr>
        <w:t>1.1.2</w:t>
      </w:r>
      <w:r>
        <w:rPr>
          <w:rFonts w:hint="eastAsia" w:ascii="仿宋" w:eastAsia="仿宋" w:cs="仿宋"/>
          <w:color w:val="auto"/>
          <w:sz w:val="28"/>
          <w:szCs w:val="28"/>
          <w:lang w:val="zh-CN"/>
        </w:rPr>
        <w:t>★</w:t>
      </w:r>
      <w:r>
        <w:rPr>
          <w:rFonts w:hint="eastAsia" w:ascii="仿宋" w:eastAsia="仿宋" w:cs="仿宋"/>
          <w:color w:val="auto"/>
          <w:sz w:val="28"/>
          <w:szCs w:val="28"/>
        </w:rPr>
        <w:t>可固定线圈支架；</w:t>
      </w:r>
    </w:p>
    <w:p w14:paraId="5CFB5F6C">
      <w:pPr>
        <w:numPr>
          <w:ilvl w:val="0"/>
          <w:numId w:val="0"/>
        </w:numPr>
        <w:spacing w:line="360" w:lineRule="auto"/>
        <w:rPr>
          <w:rFonts w:ascii="仿宋_GB2312" w:eastAsia="仿宋_GB2312"/>
          <w:b/>
          <w:color w:val="auto"/>
          <w:sz w:val="28"/>
          <w:szCs w:val="28"/>
          <w:lang w:val="en-US" w:eastAsia="zh-CN"/>
        </w:rPr>
      </w:pPr>
      <w:r>
        <w:rPr>
          <w:rFonts w:hint="eastAsia" w:ascii="仿宋" w:eastAsia="仿宋" w:cs="仿宋"/>
          <w:color w:val="auto"/>
          <w:sz w:val="28"/>
          <w:szCs w:val="28"/>
          <w:lang w:val="en-US" w:eastAsia="zh-CN"/>
        </w:rPr>
        <w:t>1.1.3</w:t>
      </w:r>
      <w:r>
        <w:rPr>
          <w:rFonts w:hint="eastAsia" w:ascii="仿宋" w:eastAsia="仿宋" w:cs="仿宋"/>
          <w:color w:val="auto"/>
          <w:sz w:val="28"/>
          <w:szCs w:val="28"/>
          <w:lang w:val="zh-CN"/>
        </w:rPr>
        <w:t>★</w:t>
      </w:r>
      <w:r>
        <w:rPr>
          <w:rFonts w:hint="eastAsia" w:ascii="仿宋" w:eastAsia="仿宋" w:cs="仿宋"/>
          <w:color w:val="auto"/>
          <w:sz w:val="28"/>
          <w:szCs w:val="28"/>
          <w:lang w:val="en-US" w:eastAsia="zh-CN"/>
        </w:rPr>
        <w:t>非分体式结构组成</w:t>
      </w:r>
      <w:r>
        <w:rPr>
          <w:rFonts w:ascii="仿宋" w:eastAsia="仿宋" w:cs="仿宋"/>
          <w:color w:val="auto"/>
          <w:sz w:val="28"/>
          <w:szCs w:val="28"/>
          <w:lang w:val="en-US" w:eastAsia="zh-CN"/>
        </w:rPr>
        <w:t>；</w:t>
      </w:r>
    </w:p>
    <w:p w14:paraId="350E6588">
      <w:pPr>
        <w:numPr>
          <w:ilvl w:val="1"/>
          <w:numId w:val="7"/>
        </w:numPr>
        <w:spacing w:line="360" w:lineRule="auto"/>
        <w:ind w:left="0" w:firstLine="0"/>
        <w:rPr>
          <w:rFonts w:hint="eastAsia" w:ascii="仿宋" w:eastAsia="仿宋" w:cs="仿宋"/>
          <w:color w:val="auto"/>
          <w:sz w:val="28"/>
          <w:szCs w:val="28"/>
        </w:rPr>
      </w:pPr>
      <w:r>
        <w:rPr>
          <w:rFonts w:hint="eastAsia" w:ascii="仿宋" w:eastAsia="仿宋" w:cs="仿宋"/>
          <w:b/>
          <w:bCs/>
          <w:color w:val="auto"/>
          <w:sz w:val="28"/>
          <w:szCs w:val="28"/>
          <w:lang w:val="en-US" w:eastAsia="zh-CN"/>
        </w:rPr>
        <w:t>冷却系统：</w:t>
      </w:r>
      <w:r>
        <w:rPr>
          <w:rFonts w:hint="eastAsia" w:ascii="仿宋" w:eastAsia="仿宋" w:cs="仿宋"/>
          <w:color w:val="auto"/>
          <w:sz w:val="28"/>
          <w:szCs w:val="28"/>
          <w:lang w:val="en-US" w:eastAsia="zh-CN"/>
        </w:rPr>
        <w:t>液态内循环冷却系统，非风冷或静态液冷或外循环液冷；</w:t>
      </w:r>
    </w:p>
    <w:p w14:paraId="564DF24E">
      <w:pPr>
        <w:numPr>
          <w:ilvl w:val="1"/>
          <w:numId w:val="7"/>
        </w:numPr>
        <w:spacing w:line="360" w:lineRule="auto"/>
        <w:ind w:left="0" w:firstLine="0"/>
        <w:jc w:val="left"/>
        <w:rPr>
          <w:rFonts w:hint="eastAsia" w:ascii="仿宋" w:eastAsia="仿宋" w:cs="仿宋"/>
          <w:color w:val="auto"/>
          <w:sz w:val="28"/>
          <w:szCs w:val="28"/>
        </w:rPr>
      </w:pPr>
      <w:r>
        <w:rPr>
          <w:rFonts w:hint="eastAsia" w:ascii="仿宋" w:eastAsia="仿宋" w:cs="仿宋"/>
          <w:color w:val="auto"/>
          <w:sz w:val="28"/>
          <w:szCs w:val="28"/>
          <w:lang w:val="zh-CN"/>
        </w:rPr>
        <w:t>★</w:t>
      </w:r>
      <w:r>
        <w:rPr>
          <w:rFonts w:hint="eastAsia" w:ascii="仿宋" w:eastAsia="仿宋" w:cs="仿宋"/>
          <w:b/>
          <w:bCs/>
          <w:color w:val="auto"/>
          <w:sz w:val="28"/>
          <w:szCs w:val="28"/>
          <w:highlight w:val="none"/>
          <w:lang w:val="en-US" w:eastAsia="zh-CN"/>
        </w:rPr>
        <w:t>操作系统：</w:t>
      </w:r>
      <w:r>
        <w:rPr>
          <w:rFonts w:hint="eastAsia" w:ascii="仿宋" w:eastAsia="仿宋" w:cs="仿宋"/>
          <w:b w:val="0"/>
          <w:bCs w:val="0"/>
          <w:color w:val="auto"/>
          <w:sz w:val="28"/>
          <w:szCs w:val="28"/>
          <w:highlight w:val="none"/>
        </w:rPr>
        <w:t>人机交互系统采用</w:t>
      </w:r>
      <w:r>
        <w:rPr>
          <w:rFonts w:hint="eastAsia" w:ascii="仿宋" w:eastAsia="仿宋" w:cs="仿宋"/>
          <w:b w:val="0"/>
          <w:bCs w:val="0"/>
          <w:color w:val="auto"/>
          <w:sz w:val="28"/>
          <w:szCs w:val="28"/>
          <w:highlight w:val="none"/>
          <w:lang w:val="en-US" w:eastAsia="zh-CN"/>
        </w:rPr>
        <w:t>笔记本电脑</w:t>
      </w:r>
      <w:r>
        <w:rPr>
          <w:rFonts w:hint="eastAsia" w:ascii="仿宋" w:eastAsia="仿宋" w:cs="仿宋"/>
          <w:b w:val="0"/>
          <w:bCs w:val="0"/>
          <w:color w:val="auto"/>
          <w:sz w:val="28"/>
          <w:szCs w:val="28"/>
          <w:highlight w:val="none"/>
        </w:rPr>
        <w:t>控制操作，中文界面，非</w:t>
      </w:r>
      <w:r>
        <w:rPr>
          <w:rFonts w:hint="eastAsia" w:ascii="仿宋" w:eastAsia="仿宋" w:cs="仿宋"/>
          <w:b w:val="0"/>
          <w:bCs w:val="0"/>
          <w:color w:val="auto"/>
          <w:sz w:val="28"/>
          <w:szCs w:val="28"/>
          <w:highlight w:val="none"/>
          <w:lang w:val="en-US" w:eastAsia="zh-CN"/>
        </w:rPr>
        <w:t>一体机及</w:t>
      </w:r>
      <w:r>
        <w:rPr>
          <w:rFonts w:hint="eastAsia" w:ascii="仿宋" w:eastAsia="仿宋" w:cs="仿宋"/>
          <w:b w:val="0"/>
          <w:bCs w:val="0"/>
          <w:color w:val="auto"/>
          <w:sz w:val="28"/>
          <w:szCs w:val="28"/>
          <w:highlight w:val="none"/>
        </w:rPr>
        <w:t>触摸屏，能实现机器开机自检、故障报警与自锁等功能。</w:t>
      </w:r>
      <w:r>
        <w:rPr>
          <w:rFonts w:hint="eastAsia" w:ascii="仿宋" w:eastAsia="仿宋" w:cs="仿宋"/>
          <w:b w:val="0"/>
          <w:bCs w:val="0"/>
          <w:color w:val="auto"/>
          <w:sz w:val="28"/>
          <w:szCs w:val="28"/>
          <w:highlight w:val="none"/>
          <w:lang w:val="en-US" w:eastAsia="zh-CN"/>
        </w:rPr>
        <w:t>支持脱离磁刺激主机单独使用具备便携性，windows系统兼容大量科研软件。</w:t>
      </w:r>
      <w:r>
        <w:rPr>
          <w:rFonts w:hint="eastAsia" w:ascii="仿宋_GB2312" w:eastAsia="仿宋_GB2312"/>
          <w:b/>
          <w:color w:val="auto"/>
          <w:sz w:val="28"/>
          <w:szCs w:val="28"/>
        </w:rPr>
        <w:t>（</w:t>
      </w:r>
      <w:r>
        <w:rPr>
          <w:rFonts w:ascii="仿宋_GB2312" w:eastAsia="仿宋_GB2312"/>
          <w:b/>
          <w:color w:val="auto"/>
          <w:sz w:val="28"/>
          <w:szCs w:val="28"/>
        </w:rPr>
        <w:t>提供</w:t>
      </w:r>
      <w:r>
        <w:rPr>
          <w:rFonts w:hint="eastAsia" w:ascii="仿宋_GB2312" w:eastAsia="仿宋_GB2312"/>
          <w:b/>
          <w:color w:val="auto"/>
          <w:sz w:val="28"/>
          <w:szCs w:val="28"/>
          <w:lang w:val="en-US" w:eastAsia="zh-CN"/>
        </w:rPr>
        <w:t>彩页</w:t>
      </w:r>
      <w:r>
        <w:rPr>
          <w:rFonts w:ascii="仿宋_GB2312" w:eastAsia="仿宋_GB2312"/>
          <w:b/>
          <w:color w:val="auto"/>
          <w:sz w:val="28"/>
          <w:szCs w:val="28"/>
          <w:lang w:val="en-US" w:eastAsia="zh-CN"/>
        </w:rPr>
        <w:t>证明</w:t>
      </w:r>
      <w:r>
        <w:rPr>
          <w:rFonts w:hint="eastAsia" w:ascii="仿宋_GB2312" w:eastAsia="仿宋_GB2312"/>
          <w:b/>
          <w:color w:val="auto"/>
          <w:sz w:val="28"/>
          <w:szCs w:val="28"/>
          <w:lang w:val="en-US" w:eastAsia="zh-CN"/>
        </w:rPr>
        <w:t>）</w:t>
      </w:r>
    </w:p>
    <w:p w14:paraId="057ED2B1">
      <w:pPr>
        <w:numPr>
          <w:ilvl w:val="1"/>
          <w:numId w:val="7"/>
        </w:numPr>
        <w:spacing w:line="360" w:lineRule="auto"/>
        <w:ind w:left="0" w:firstLine="0"/>
        <w:jc w:val="left"/>
        <w:rPr>
          <w:rFonts w:hint="eastAsia" w:ascii="仿宋" w:eastAsia="仿宋" w:cs="仿宋"/>
          <w:color w:val="auto"/>
          <w:sz w:val="28"/>
          <w:szCs w:val="28"/>
        </w:rPr>
      </w:pPr>
      <w:r>
        <w:rPr>
          <w:rFonts w:hint="eastAsia" w:ascii="仿宋" w:eastAsia="仿宋" w:cs="仿宋"/>
          <w:b/>
          <w:bCs/>
          <w:color w:val="auto"/>
          <w:sz w:val="28"/>
          <w:szCs w:val="28"/>
        </w:rPr>
        <w:t>刺激强度</w:t>
      </w:r>
      <w:r>
        <w:rPr>
          <w:rFonts w:hint="eastAsia" w:ascii="仿宋" w:eastAsia="仿宋" w:cs="仿宋"/>
          <w:b/>
          <w:bCs/>
          <w:color w:val="auto"/>
          <w:sz w:val="28"/>
          <w:szCs w:val="28"/>
          <w:lang w:eastAsia="zh-CN"/>
        </w:rPr>
        <w:t>：</w:t>
      </w:r>
      <w:r>
        <w:rPr>
          <w:rFonts w:hint="eastAsia" w:ascii="仿宋" w:eastAsia="仿宋" w:cs="仿宋"/>
          <w:color w:val="auto"/>
          <w:sz w:val="28"/>
          <w:szCs w:val="28"/>
        </w:rPr>
        <w:t>1.</w:t>
      </w:r>
      <w:r>
        <w:rPr>
          <w:rFonts w:hint="eastAsia" w:ascii="仿宋" w:eastAsia="仿宋" w:cs="仿宋"/>
          <w:color w:val="auto"/>
          <w:sz w:val="28"/>
          <w:szCs w:val="28"/>
          <w:lang w:val="en-US" w:eastAsia="zh-CN"/>
        </w:rPr>
        <w:t>0</w:t>
      </w:r>
      <w:r>
        <w:rPr>
          <w:rFonts w:hint="eastAsia" w:ascii="仿宋" w:eastAsia="仿宋" w:cs="仿宋"/>
          <w:color w:val="auto"/>
          <w:sz w:val="28"/>
          <w:szCs w:val="28"/>
        </w:rPr>
        <w:t>-6Tesla连续可调；</w:t>
      </w:r>
    </w:p>
    <w:p w14:paraId="154095BA">
      <w:pPr>
        <w:numPr>
          <w:ilvl w:val="1"/>
          <w:numId w:val="7"/>
        </w:numPr>
        <w:spacing w:line="360" w:lineRule="auto"/>
        <w:ind w:left="0" w:firstLine="0"/>
        <w:rPr>
          <w:rFonts w:hint="eastAsia" w:ascii="仿宋" w:eastAsia="仿宋" w:cs="仿宋"/>
          <w:color w:val="auto"/>
          <w:sz w:val="28"/>
          <w:szCs w:val="28"/>
          <w:highlight w:val="none"/>
        </w:rPr>
      </w:pPr>
      <w:r>
        <w:rPr>
          <w:rFonts w:hint="eastAsia" w:ascii="仿宋" w:eastAsia="仿宋" w:cs="仿宋"/>
          <w:b/>
          <w:bCs/>
          <w:color w:val="auto"/>
          <w:sz w:val="28"/>
          <w:szCs w:val="28"/>
          <w:highlight w:val="none"/>
        </w:rPr>
        <w:t>磁感应强度稳定输出</w:t>
      </w:r>
      <w:r>
        <w:rPr>
          <w:rFonts w:hint="eastAsia" w:ascii="仿宋" w:eastAsia="仿宋" w:cs="仿宋"/>
          <w:b/>
          <w:bCs/>
          <w:color w:val="auto"/>
          <w:sz w:val="28"/>
          <w:szCs w:val="28"/>
          <w:highlight w:val="none"/>
          <w:lang w:val="en-US" w:eastAsia="zh-CN"/>
        </w:rPr>
        <w:t>允差：</w:t>
      </w:r>
      <w:r>
        <w:rPr>
          <w:rFonts w:hint="eastAsia" w:ascii="仿宋" w:eastAsia="仿宋" w:cs="仿宋"/>
          <w:color w:val="auto"/>
          <w:sz w:val="28"/>
          <w:szCs w:val="28"/>
          <w:highlight w:val="none"/>
        </w:rPr>
        <w:t>±</w:t>
      </w:r>
      <w:r>
        <w:rPr>
          <w:rFonts w:hint="eastAsia" w:ascii="仿宋" w:eastAsia="仿宋" w:cs="仿宋"/>
          <w:b w:val="0"/>
          <w:bCs w:val="0"/>
          <w:color w:val="auto"/>
          <w:sz w:val="28"/>
          <w:szCs w:val="28"/>
          <w:highlight w:val="none"/>
          <w:lang w:val="en-US" w:eastAsia="zh-CN"/>
        </w:rPr>
        <w:t>5%（检测报告证明）；</w:t>
      </w:r>
    </w:p>
    <w:p w14:paraId="05146FC7">
      <w:pPr>
        <w:numPr>
          <w:ilvl w:val="1"/>
          <w:numId w:val="7"/>
        </w:numPr>
        <w:spacing w:line="360" w:lineRule="auto"/>
        <w:ind w:left="0" w:firstLine="0"/>
        <w:jc w:val="left"/>
        <w:rPr>
          <w:rFonts w:hint="eastAsia" w:ascii="仿宋" w:eastAsia="仿宋" w:cs="仿宋"/>
          <w:color w:val="auto"/>
          <w:sz w:val="28"/>
          <w:szCs w:val="28"/>
          <w:highlight w:val="none"/>
        </w:rPr>
      </w:pPr>
      <w:r>
        <w:rPr>
          <w:rFonts w:hint="eastAsia" w:ascii="仿宋" w:eastAsia="仿宋" w:cs="仿宋"/>
          <w:color w:val="auto"/>
          <w:sz w:val="28"/>
          <w:szCs w:val="28"/>
          <w:highlight w:val="none"/>
          <w:lang w:val="zh-CN"/>
        </w:rPr>
        <w:t>★</w:t>
      </w:r>
      <w:r>
        <w:rPr>
          <w:rFonts w:hint="eastAsia" w:ascii="仿宋" w:eastAsia="仿宋" w:cs="仿宋"/>
          <w:b/>
          <w:bCs/>
          <w:color w:val="auto"/>
          <w:sz w:val="28"/>
          <w:szCs w:val="28"/>
          <w:highlight w:val="none"/>
        </w:rPr>
        <w:t>磁感应强度最大变化率：</w:t>
      </w:r>
      <w:r>
        <w:rPr>
          <w:rFonts w:hint="eastAsia" w:ascii="仿宋" w:eastAsia="仿宋" w:cs="仿宋"/>
          <w:b w:val="0"/>
          <w:bCs w:val="0"/>
          <w:color w:val="auto"/>
          <w:sz w:val="28"/>
          <w:szCs w:val="28"/>
          <w:highlight w:val="none"/>
          <w:lang w:val="en-US" w:eastAsia="zh-CN"/>
        </w:rPr>
        <w:t>低限不低于20kT/s,上限不超过</w:t>
      </w:r>
      <w:r>
        <w:rPr>
          <w:rFonts w:hint="eastAsia" w:ascii="仿宋" w:eastAsia="仿宋" w:cs="仿宋"/>
          <w:color w:val="auto"/>
          <w:sz w:val="28"/>
          <w:szCs w:val="28"/>
          <w:highlight w:val="none"/>
          <w:lang w:val="en-US" w:eastAsia="zh-CN"/>
        </w:rPr>
        <w:t>8</w:t>
      </w:r>
      <w:r>
        <w:rPr>
          <w:rFonts w:hint="eastAsia" w:ascii="仿宋" w:eastAsia="仿宋" w:cs="仿宋"/>
          <w:color w:val="auto"/>
          <w:sz w:val="28"/>
          <w:szCs w:val="28"/>
          <w:highlight w:val="none"/>
        </w:rPr>
        <w:t>0</w:t>
      </w:r>
      <w:r>
        <w:rPr>
          <w:rFonts w:hint="eastAsia" w:ascii="仿宋" w:eastAsia="仿宋" w:cs="仿宋"/>
          <w:color w:val="auto"/>
          <w:sz w:val="28"/>
          <w:szCs w:val="28"/>
          <w:highlight w:val="none"/>
          <w:lang w:val="en-US" w:eastAsia="zh-CN"/>
        </w:rPr>
        <w:t>k</w:t>
      </w:r>
      <w:r>
        <w:rPr>
          <w:rFonts w:hint="eastAsia" w:ascii="仿宋" w:eastAsia="仿宋" w:cs="仿宋"/>
          <w:color w:val="auto"/>
          <w:sz w:val="28"/>
          <w:szCs w:val="28"/>
          <w:highlight w:val="none"/>
        </w:rPr>
        <w:t>T</w:t>
      </w:r>
      <w:r>
        <w:rPr>
          <w:rFonts w:hint="eastAsia" w:ascii="仿宋" w:eastAsia="仿宋" w:cs="仿宋"/>
          <w:color w:val="auto"/>
          <w:sz w:val="28"/>
          <w:szCs w:val="28"/>
          <w:highlight w:val="none"/>
          <w:lang w:val="en-US" w:eastAsia="zh-CN"/>
        </w:rPr>
        <w:t>/s，过低的磁感应强度变化率难以诱发生理效应，过高的磁感应强度变化率会导致患者无法耐受</w:t>
      </w:r>
      <w:r>
        <w:rPr>
          <w:rFonts w:hint="eastAsia" w:ascii="仿宋" w:eastAsia="仿宋" w:cs="仿宋"/>
          <w:color w:val="auto"/>
          <w:sz w:val="28"/>
          <w:szCs w:val="28"/>
          <w:highlight w:val="none"/>
        </w:rPr>
        <w:t>；</w:t>
      </w:r>
    </w:p>
    <w:p w14:paraId="2A31A57B">
      <w:pPr>
        <w:numPr>
          <w:ilvl w:val="1"/>
          <w:numId w:val="7"/>
        </w:numPr>
        <w:spacing w:line="360" w:lineRule="auto"/>
        <w:ind w:left="0" w:firstLine="0"/>
        <w:rPr>
          <w:rFonts w:hint="eastAsia" w:ascii="仿宋" w:eastAsia="仿宋" w:cs="仿宋"/>
          <w:color w:val="auto"/>
          <w:sz w:val="28"/>
          <w:szCs w:val="28"/>
          <w:highlight w:val="none"/>
        </w:rPr>
      </w:pPr>
      <w:r>
        <w:rPr>
          <w:rFonts w:hint="eastAsia" w:ascii="仿宋_GB2312" w:eastAsia="仿宋_GB2312"/>
          <w:b/>
          <w:bCs w:val="0"/>
          <w:color w:val="auto"/>
          <w:sz w:val="28"/>
          <w:szCs w:val="28"/>
          <w:highlight w:val="none"/>
          <w:lang w:val="en-US" w:eastAsia="zh-CN"/>
        </w:rPr>
        <w:t>脉冲上升时间：</w:t>
      </w:r>
      <w:r>
        <w:rPr>
          <w:rFonts w:hint="eastAsia" w:ascii="仿宋_GB2312" w:eastAsia="仿宋_GB2312"/>
          <w:b w:val="0"/>
          <w:bCs/>
          <w:color w:val="auto"/>
          <w:sz w:val="28"/>
          <w:szCs w:val="28"/>
          <w:highlight w:val="none"/>
          <w:lang w:val="en-US" w:eastAsia="zh-CN"/>
        </w:rPr>
        <w:t>60±10μs（不超过85μs）</w:t>
      </w:r>
      <w:r>
        <w:rPr>
          <w:rFonts w:hint="eastAsia" w:ascii="仿宋" w:eastAsia="仿宋" w:cs="仿宋"/>
          <w:color w:val="auto"/>
          <w:sz w:val="28"/>
          <w:szCs w:val="28"/>
          <w:highlight w:val="none"/>
          <w:lang w:eastAsia="zh-CN"/>
        </w:rPr>
        <w:t>；</w:t>
      </w:r>
    </w:p>
    <w:p w14:paraId="59EA74B1">
      <w:pPr>
        <w:numPr>
          <w:ilvl w:val="1"/>
          <w:numId w:val="7"/>
        </w:numPr>
        <w:spacing w:line="360" w:lineRule="auto"/>
        <w:ind w:left="0" w:firstLine="0"/>
        <w:rPr>
          <w:rFonts w:hint="eastAsia" w:ascii="仿宋" w:eastAsia="仿宋" w:cs="仿宋"/>
          <w:color w:val="auto"/>
          <w:sz w:val="28"/>
          <w:szCs w:val="28"/>
          <w:highlight w:val="none"/>
        </w:rPr>
      </w:pPr>
      <w:r>
        <w:rPr>
          <w:rFonts w:hint="eastAsia" w:ascii="仿宋" w:eastAsia="仿宋" w:cs="仿宋"/>
          <w:b/>
          <w:bCs/>
          <w:color w:val="auto"/>
          <w:sz w:val="28"/>
          <w:szCs w:val="28"/>
          <w:highlight w:val="none"/>
        </w:rPr>
        <w:t>输出脉冲宽度：</w:t>
      </w:r>
      <w:r>
        <w:rPr>
          <w:rFonts w:hint="eastAsia" w:ascii="仿宋" w:eastAsia="仿宋" w:cs="仿宋"/>
          <w:color w:val="auto"/>
          <w:sz w:val="28"/>
          <w:szCs w:val="28"/>
          <w:highlight w:val="none"/>
          <w:lang w:val="en-US" w:eastAsia="zh-CN"/>
        </w:rPr>
        <w:t>340</w:t>
      </w:r>
      <w:r>
        <w:rPr>
          <w:rFonts w:hint="eastAsia" w:ascii="仿宋" w:eastAsia="仿宋" w:cs="仿宋"/>
          <w:color w:val="auto"/>
          <w:sz w:val="28"/>
          <w:szCs w:val="28"/>
          <w:highlight w:val="none"/>
        </w:rPr>
        <w:t>μs</w:t>
      </w:r>
      <w:r>
        <w:rPr>
          <w:rFonts w:hint="eastAsia" w:ascii="仿宋" w:eastAsia="仿宋" w:cs="仿宋"/>
          <w:color w:val="auto"/>
          <w:sz w:val="28"/>
          <w:szCs w:val="28"/>
          <w:highlight w:val="none"/>
          <w:lang w:eastAsia="zh-CN"/>
        </w:rPr>
        <w:t>，</w:t>
      </w:r>
      <w:r>
        <w:rPr>
          <w:rFonts w:hint="eastAsia" w:ascii="仿宋" w:eastAsia="仿宋" w:cs="仿宋"/>
          <w:color w:val="auto"/>
          <w:sz w:val="28"/>
          <w:szCs w:val="28"/>
          <w:highlight w:val="none"/>
          <w:lang w:val="en-US" w:eastAsia="zh-CN"/>
        </w:rPr>
        <w:t>允差</w:t>
      </w:r>
      <w:r>
        <w:rPr>
          <w:rFonts w:hint="eastAsia" w:ascii="仿宋" w:eastAsia="仿宋" w:cs="仿宋"/>
          <w:color w:val="auto"/>
          <w:sz w:val="28"/>
          <w:szCs w:val="28"/>
          <w:highlight w:val="none"/>
        </w:rPr>
        <w:t>±20μs</w:t>
      </w:r>
      <w:r>
        <w:rPr>
          <w:rFonts w:hint="eastAsia" w:ascii="仿宋" w:eastAsia="仿宋" w:cs="仿宋"/>
          <w:color w:val="auto"/>
          <w:sz w:val="28"/>
          <w:szCs w:val="28"/>
          <w:highlight w:val="none"/>
          <w:lang w:eastAsia="zh-CN"/>
        </w:rPr>
        <w:t>（</w:t>
      </w:r>
      <w:r>
        <w:rPr>
          <w:rFonts w:hint="eastAsia" w:ascii="仿宋" w:eastAsia="仿宋" w:cs="仿宋"/>
          <w:color w:val="auto"/>
          <w:sz w:val="28"/>
          <w:szCs w:val="28"/>
          <w:highlight w:val="none"/>
          <w:lang w:val="en-US" w:eastAsia="zh-CN"/>
        </w:rPr>
        <w:t>或6%</w:t>
      </w:r>
      <w:r>
        <w:rPr>
          <w:rFonts w:hint="eastAsia" w:ascii="仿宋" w:eastAsia="仿宋" w:cs="仿宋"/>
          <w:color w:val="auto"/>
          <w:sz w:val="28"/>
          <w:szCs w:val="28"/>
          <w:highlight w:val="none"/>
          <w:lang w:eastAsia="zh-CN"/>
        </w:rPr>
        <w:t>）</w:t>
      </w:r>
      <w:r>
        <w:rPr>
          <w:rFonts w:hint="eastAsia" w:ascii="仿宋" w:eastAsia="仿宋" w:cs="仿宋"/>
          <w:color w:val="auto"/>
          <w:sz w:val="28"/>
          <w:szCs w:val="28"/>
          <w:highlight w:val="none"/>
          <w:lang w:val="en-US" w:eastAsia="zh-CN"/>
        </w:rPr>
        <w:t>,不低于320μs不超过360μs,过低的输出脉宽难以诱发生理效应，过高的脉宽会导致患者无法耐受；</w:t>
      </w:r>
    </w:p>
    <w:p w14:paraId="341A1B9A">
      <w:pPr>
        <w:numPr>
          <w:ilvl w:val="1"/>
          <w:numId w:val="7"/>
        </w:numPr>
        <w:spacing w:line="360" w:lineRule="auto"/>
        <w:ind w:left="0" w:firstLine="0"/>
        <w:rPr>
          <w:rFonts w:hint="eastAsia" w:ascii="仿宋" w:eastAsia="仿宋" w:cs="仿宋"/>
          <w:color w:val="auto"/>
          <w:sz w:val="28"/>
          <w:szCs w:val="28"/>
          <w:highlight w:val="none"/>
        </w:rPr>
      </w:pPr>
      <w:r>
        <w:rPr>
          <w:rFonts w:hint="eastAsia" w:ascii="仿宋" w:eastAsia="仿宋" w:cs="仿宋"/>
          <w:b/>
          <w:bCs/>
          <w:color w:val="auto"/>
          <w:sz w:val="28"/>
          <w:szCs w:val="28"/>
          <w:highlight w:val="none"/>
        </w:rPr>
        <w:t>脉冲频率≥1Hz，步进为 1Hz；脉冲频率＜1Hz，步进为 0.</w:t>
      </w:r>
      <w:r>
        <w:rPr>
          <w:rFonts w:hint="eastAsia" w:ascii="仿宋" w:eastAsia="仿宋" w:cs="仿宋"/>
          <w:b/>
          <w:bCs/>
          <w:color w:val="auto"/>
          <w:sz w:val="28"/>
          <w:szCs w:val="28"/>
          <w:highlight w:val="none"/>
          <w:lang w:val="en-US" w:eastAsia="zh-CN"/>
        </w:rPr>
        <w:t>0</w:t>
      </w:r>
      <w:r>
        <w:rPr>
          <w:rFonts w:hint="eastAsia" w:ascii="仿宋" w:eastAsia="仿宋" w:cs="仿宋"/>
          <w:b/>
          <w:bCs/>
          <w:color w:val="auto"/>
          <w:sz w:val="28"/>
          <w:szCs w:val="28"/>
          <w:highlight w:val="none"/>
        </w:rPr>
        <w:t>1Hz</w:t>
      </w:r>
      <w:r>
        <w:rPr>
          <w:rFonts w:hint="eastAsia" w:ascii="仿宋" w:eastAsia="仿宋" w:cs="仿宋"/>
          <w:b/>
          <w:bCs/>
          <w:color w:val="auto"/>
          <w:sz w:val="28"/>
          <w:szCs w:val="28"/>
          <w:highlight w:val="none"/>
          <w:lang w:eastAsia="zh-CN"/>
        </w:rPr>
        <w:t>；</w:t>
      </w:r>
    </w:p>
    <w:p w14:paraId="48B8B5F6">
      <w:pPr>
        <w:numPr>
          <w:ilvl w:val="1"/>
          <w:numId w:val="7"/>
        </w:numPr>
        <w:spacing w:line="360" w:lineRule="auto"/>
        <w:ind w:left="0" w:firstLine="0"/>
        <w:rPr>
          <w:rFonts w:hint="eastAsia" w:ascii="仿宋" w:eastAsia="仿宋" w:cs="仿宋"/>
          <w:color w:val="auto"/>
          <w:sz w:val="28"/>
          <w:szCs w:val="28"/>
          <w:highlight w:val="none"/>
        </w:rPr>
      </w:pPr>
      <w:r>
        <w:rPr>
          <w:rFonts w:hint="eastAsia" w:ascii="仿宋" w:eastAsia="仿宋" w:cs="仿宋"/>
          <w:color w:val="auto"/>
          <w:sz w:val="28"/>
          <w:szCs w:val="28"/>
          <w:highlight w:val="none"/>
          <w:lang w:val="zh-CN"/>
        </w:rPr>
        <w:t>★</w:t>
      </w:r>
      <w:r>
        <w:rPr>
          <w:rFonts w:hint="eastAsia" w:ascii="仿宋_GB2312" w:eastAsia="仿宋_GB2312"/>
          <w:b/>
          <w:bCs w:val="0"/>
          <w:color w:val="auto"/>
          <w:sz w:val="28"/>
          <w:szCs w:val="28"/>
          <w:highlight w:val="none"/>
          <w:lang w:val="en-US" w:eastAsia="zh-CN"/>
        </w:rPr>
        <w:t>脉冲频率允差值：</w:t>
      </w:r>
      <w:r>
        <w:rPr>
          <w:rFonts w:hint="eastAsia" w:ascii="仿宋_GB2312" w:eastAsia="仿宋_GB2312"/>
          <w:bCs/>
          <w:color w:val="auto"/>
          <w:sz w:val="28"/>
          <w:szCs w:val="28"/>
          <w:highlight w:val="none"/>
        </w:rPr>
        <w:t>±</w:t>
      </w:r>
      <w:r>
        <w:rPr>
          <w:rFonts w:ascii="仿宋_GB2312" w:eastAsia="仿宋_GB2312"/>
          <w:bCs/>
          <w:color w:val="auto"/>
          <w:sz w:val="28"/>
          <w:szCs w:val="28"/>
          <w:highlight w:val="none"/>
        </w:rPr>
        <w:t>2</w:t>
      </w:r>
      <w:r>
        <w:rPr>
          <w:rFonts w:hint="eastAsia" w:ascii="仿宋_GB2312" w:eastAsia="仿宋_GB2312"/>
          <w:bCs/>
          <w:color w:val="auto"/>
          <w:sz w:val="28"/>
          <w:szCs w:val="28"/>
          <w:highlight w:val="none"/>
        </w:rPr>
        <w:t>%</w:t>
      </w:r>
      <w:r>
        <w:rPr>
          <w:rFonts w:hint="eastAsia" w:ascii="仿宋_GB2312" w:eastAsia="仿宋_GB2312"/>
          <w:b/>
          <w:color w:val="auto"/>
          <w:sz w:val="28"/>
          <w:szCs w:val="28"/>
          <w:highlight w:val="none"/>
          <w:lang w:eastAsia="zh-CN"/>
        </w:rPr>
        <w:t>（</w:t>
      </w:r>
      <w:r>
        <w:rPr>
          <w:rFonts w:hint="eastAsia" w:ascii="仿宋_GB2312" w:eastAsia="仿宋_GB2312"/>
          <w:b/>
          <w:color w:val="auto"/>
          <w:sz w:val="28"/>
          <w:szCs w:val="28"/>
          <w:highlight w:val="none"/>
          <w:lang w:val="en-US" w:eastAsia="zh-CN"/>
        </w:rPr>
        <w:t>设备铭牌证明</w:t>
      </w:r>
      <w:r>
        <w:rPr>
          <w:rFonts w:hint="eastAsia" w:ascii="仿宋_GB2312" w:eastAsia="仿宋_GB2312"/>
          <w:b/>
          <w:color w:val="auto"/>
          <w:sz w:val="28"/>
          <w:szCs w:val="28"/>
          <w:highlight w:val="none"/>
          <w:lang w:eastAsia="zh-CN"/>
        </w:rPr>
        <w:t>）</w:t>
      </w:r>
    </w:p>
    <w:p w14:paraId="65A8C6DD">
      <w:pPr>
        <w:numPr>
          <w:ilvl w:val="1"/>
          <w:numId w:val="7"/>
        </w:numPr>
        <w:spacing w:line="360" w:lineRule="auto"/>
        <w:ind w:left="0" w:firstLine="0"/>
        <w:rPr>
          <w:rFonts w:hint="eastAsia" w:ascii="仿宋" w:eastAsia="仿宋" w:cs="仿宋"/>
          <w:color w:val="auto"/>
          <w:sz w:val="28"/>
          <w:szCs w:val="28"/>
          <w:highlight w:val="none"/>
        </w:rPr>
      </w:pPr>
      <w:r>
        <w:rPr>
          <w:rFonts w:hint="eastAsia" w:ascii="仿宋" w:eastAsia="仿宋" w:cs="仿宋"/>
          <w:color w:val="auto"/>
          <w:sz w:val="28"/>
          <w:szCs w:val="28"/>
          <w:highlight w:val="none"/>
          <w:lang w:val="zh-CN"/>
        </w:rPr>
        <w:t>★</w:t>
      </w:r>
      <w:r>
        <w:rPr>
          <w:rFonts w:hint="eastAsia" w:ascii="仿宋_GB2312" w:eastAsia="仿宋_GB2312"/>
          <w:b/>
          <w:bCs w:val="0"/>
          <w:color w:val="auto"/>
          <w:sz w:val="28"/>
          <w:szCs w:val="28"/>
          <w:highlight w:val="none"/>
          <w:lang w:val="en-US" w:eastAsia="zh-CN"/>
        </w:rPr>
        <w:t>电介质强度：</w:t>
      </w:r>
      <w:r>
        <w:rPr>
          <w:rFonts w:ascii="仿宋_GB2312" w:eastAsia="仿宋_GB2312"/>
          <w:b w:val="0"/>
          <w:bCs/>
          <w:color w:val="auto"/>
          <w:sz w:val="28"/>
          <w:szCs w:val="28"/>
          <w:highlight w:val="none"/>
          <w:lang w:val="en-US" w:eastAsia="zh-CN"/>
        </w:rPr>
        <w:t>主机内部高压储能电容安全可靠，电介质强度</w:t>
      </w:r>
      <w:r>
        <w:rPr>
          <w:rFonts w:hint="eastAsia" w:ascii="仿宋_GB2312" w:eastAsia="仿宋_GB2312"/>
          <w:b w:val="0"/>
          <w:bCs/>
          <w:color w:val="auto"/>
          <w:sz w:val="28"/>
          <w:szCs w:val="28"/>
          <w:highlight w:val="none"/>
          <w:lang w:val="en-US" w:eastAsia="zh-CN"/>
        </w:rPr>
        <w:t>可达785</w:t>
      </w:r>
      <w:r>
        <w:rPr>
          <w:rFonts w:ascii="仿宋_GB2312" w:eastAsia="仿宋_GB2312"/>
          <w:b w:val="0"/>
          <w:bCs/>
          <w:color w:val="auto"/>
          <w:sz w:val="28"/>
          <w:szCs w:val="28"/>
          <w:highlight w:val="none"/>
          <w:lang w:val="en-US" w:eastAsia="zh-CN"/>
        </w:rPr>
        <w:t>0V</w:t>
      </w:r>
      <w:r>
        <w:rPr>
          <w:rFonts w:hint="eastAsia" w:ascii="仿宋_GB2312" w:eastAsia="仿宋_GB2312"/>
          <w:b w:val="0"/>
          <w:bCs/>
          <w:color w:val="auto"/>
          <w:sz w:val="28"/>
          <w:szCs w:val="28"/>
          <w:highlight w:val="none"/>
          <w:lang w:val="en-US" w:eastAsia="zh-CN"/>
        </w:rPr>
        <w:t>AC</w:t>
      </w:r>
      <w:r>
        <w:rPr>
          <w:rFonts w:hint="eastAsia" w:ascii="仿宋_GB2312" w:eastAsia="仿宋_GB2312"/>
          <w:b/>
          <w:color w:val="auto"/>
          <w:sz w:val="28"/>
          <w:szCs w:val="28"/>
          <w:highlight w:val="none"/>
          <w:lang w:val="en-US" w:eastAsia="zh-CN"/>
        </w:rPr>
        <w:t>（</w:t>
      </w:r>
      <w:r>
        <w:rPr>
          <w:rFonts w:hint="eastAsia" w:ascii="仿宋_GB2312" w:eastAsia="仿宋_GB2312"/>
          <w:b/>
          <w:color w:val="auto"/>
          <w:sz w:val="28"/>
          <w:szCs w:val="28"/>
          <w:highlight w:val="none"/>
          <w:lang w:eastAsia="zh-CN"/>
        </w:rPr>
        <w:t>省级及以上医疗器械检测中心出具的</w:t>
      </w:r>
      <w:r>
        <w:rPr>
          <w:rFonts w:hint="eastAsia" w:ascii="仿宋_GB2312" w:eastAsia="仿宋_GB2312"/>
          <w:b/>
          <w:color w:val="auto"/>
          <w:sz w:val="28"/>
          <w:szCs w:val="28"/>
          <w:highlight w:val="none"/>
          <w:lang w:val="en-US" w:eastAsia="zh-CN"/>
        </w:rPr>
        <w:t>注册检验报告</w:t>
      </w:r>
      <w:r>
        <w:rPr>
          <w:rFonts w:hint="eastAsia" w:ascii="仿宋_GB2312" w:eastAsia="仿宋_GB2312"/>
          <w:b/>
          <w:color w:val="auto"/>
          <w:sz w:val="28"/>
          <w:szCs w:val="28"/>
          <w:highlight w:val="none"/>
          <w:lang w:eastAsia="zh-CN"/>
        </w:rPr>
        <w:t>证明）</w:t>
      </w:r>
    </w:p>
    <w:p w14:paraId="3227CDCE">
      <w:pPr>
        <w:numPr>
          <w:ilvl w:val="1"/>
          <w:numId w:val="7"/>
        </w:numPr>
        <w:spacing w:line="360" w:lineRule="auto"/>
        <w:ind w:left="0" w:firstLine="0"/>
        <w:rPr>
          <w:rFonts w:hint="eastAsia" w:ascii="仿宋" w:eastAsia="仿宋" w:cs="仿宋"/>
          <w:color w:val="auto"/>
          <w:sz w:val="28"/>
          <w:szCs w:val="28"/>
          <w:highlight w:val="none"/>
        </w:rPr>
      </w:pPr>
      <w:r>
        <w:rPr>
          <w:rFonts w:hint="eastAsia" w:ascii="仿宋_GB2312" w:eastAsia="仿宋_GB2312"/>
          <w:b/>
          <w:color w:val="auto"/>
          <w:sz w:val="28"/>
          <w:szCs w:val="28"/>
          <w:highlight w:val="none"/>
          <w:lang w:val="en-US" w:eastAsia="zh-CN"/>
        </w:rPr>
        <w:t>设备功耗可达8kVA</w:t>
      </w:r>
    </w:p>
    <w:p w14:paraId="0AAAAB75">
      <w:pPr>
        <w:numPr>
          <w:ilvl w:val="0"/>
          <w:numId w:val="7"/>
        </w:numPr>
        <w:ind w:left="0" w:firstLine="0"/>
        <w:rPr>
          <w:rFonts w:hint="eastAsia" w:ascii="仿宋_GB2312" w:eastAsia="仿宋_GB2312"/>
          <w:b/>
          <w:color w:val="auto"/>
          <w:sz w:val="28"/>
          <w:szCs w:val="28"/>
          <w:highlight w:val="none"/>
          <w:lang w:val="en-US" w:eastAsia="zh-CN"/>
        </w:rPr>
      </w:pPr>
      <w:r>
        <w:rPr>
          <w:rFonts w:hint="eastAsia" w:ascii="仿宋_GB2312" w:eastAsia="仿宋_GB2312"/>
          <w:b/>
          <w:color w:val="auto"/>
          <w:sz w:val="28"/>
          <w:szCs w:val="28"/>
          <w:highlight w:val="none"/>
          <w:lang w:val="en-US" w:eastAsia="zh-CN"/>
        </w:rPr>
        <w:t>安全预警：</w:t>
      </w:r>
    </w:p>
    <w:p w14:paraId="28A1C3C3">
      <w:pPr>
        <w:numPr>
          <w:ilvl w:val="1"/>
          <w:numId w:val="7"/>
        </w:numPr>
        <w:spacing w:line="360" w:lineRule="auto"/>
        <w:ind w:left="0" w:firstLine="0"/>
        <w:rPr>
          <w:rFonts w:ascii="仿宋" w:eastAsia="仿宋" w:cs="仿宋"/>
          <w:b/>
          <w:bCs/>
          <w:color w:val="auto"/>
          <w:sz w:val="28"/>
          <w:szCs w:val="28"/>
          <w:highlight w:val="none"/>
          <w:lang w:val="en-US" w:eastAsia="zh-CN"/>
        </w:rPr>
      </w:pPr>
      <w:r>
        <w:rPr>
          <w:rFonts w:hint="eastAsia" w:ascii="仿宋" w:eastAsia="仿宋" w:cs="仿宋"/>
          <w:b/>
          <w:bCs/>
          <w:color w:val="auto"/>
          <w:sz w:val="28"/>
          <w:szCs w:val="28"/>
          <w:highlight w:val="none"/>
          <w:lang w:val="en-US" w:eastAsia="zh-CN"/>
        </w:rPr>
        <w:t>当冷却系统发生故障时，应有提示或停止磁场输出。</w:t>
      </w:r>
    </w:p>
    <w:p w14:paraId="2AC185AE">
      <w:pPr>
        <w:numPr>
          <w:ilvl w:val="1"/>
          <w:numId w:val="7"/>
        </w:numPr>
        <w:spacing w:line="360" w:lineRule="auto"/>
        <w:ind w:left="0" w:firstLine="0"/>
        <w:rPr>
          <w:rFonts w:hint="eastAsia" w:ascii="仿宋" w:eastAsia="仿宋" w:cs="仿宋"/>
          <w:color w:val="auto"/>
          <w:sz w:val="28"/>
          <w:szCs w:val="28"/>
          <w:highlight w:val="none"/>
        </w:rPr>
      </w:pPr>
      <w:r>
        <w:rPr>
          <w:rFonts w:hint="eastAsia" w:ascii="仿宋" w:eastAsia="仿宋" w:cs="仿宋"/>
          <w:b/>
          <w:bCs/>
          <w:color w:val="auto"/>
          <w:sz w:val="28"/>
          <w:szCs w:val="28"/>
          <w:highlight w:val="none"/>
        </w:rPr>
        <w:t>在设备连续工作中，可以通过按下设备面板上的停止开关，仪器立即停止输出</w:t>
      </w:r>
      <w:r>
        <w:rPr>
          <w:rFonts w:hint="eastAsia" w:ascii="仿宋" w:eastAsia="仿宋" w:cs="仿宋"/>
          <w:b/>
          <w:bCs/>
          <w:color w:val="auto"/>
          <w:sz w:val="28"/>
          <w:szCs w:val="28"/>
          <w:highlight w:val="none"/>
          <w:lang w:eastAsia="zh-CN"/>
        </w:rPr>
        <w:t>。</w:t>
      </w:r>
    </w:p>
    <w:p w14:paraId="576C65F5">
      <w:pPr>
        <w:numPr>
          <w:ilvl w:val="1"/>
          <w:numId w:val="7"/>
        </w:numPr>
        <w:spacing w:line="360" w:lineRule="auto"/>
        <w:ind w:left="0" w:firstLine="0"/>
        <w:rPr>
          <w:rFonts w:hint="eastAsia" w:ascii="仿宋" w:eastAsia="仿宋" w:cs="仿宋"/>
          <w:color w:val="auto"/>
          <w:sz w:val="28"/>
          <w:szCs w:val="28"/>
          <w:highlight w:val="none"/>
        </w:rPr>
      </w:pPr>
      <w:r>
        <w:rPr>
          <w:rFonts w:hint="eastAsia" w:ascii="仿宋" w:eastAsia="仿宋" w:cs="仿宋"/>
          <w:color w:val="auto"/>
          <w:sz w:val="28"/>
          <w:szCs w:val="28"/>
          <w:highlight w:val="none"/>
          <w:lang w:val="zh-CN"/>
        </w:rPr>
        <w:t>★</w:t>
      </w:r>
      <w:r>
        <w:rPr>
          <w:rFonts w:hint="eastAsia" w:ascii="仿宋_GB2312" w:eastAsia="仿宋_GB2312"/>
          <w:b/>
          <w:bCs w:val="0"/>
          <w:color w:val="auto"/>
          <w:sz w:val="28"/>
          <w:szCs w:val="28"/>
          <w:highlight w:val="none"/>
        </w:rPr>
        <w:t>磁刺激线圈表面温度≤40℃</w:t>
      </w:r>
      <w:r>
        <w:rPr>
          <w:rFonts w:hint="eastAsia" w:ascii="仿宋_GB2312" w:eastAsia="仿宋_GB2312"/>
          <w:b/>
          <w:bCs w:val="0"/>
          <w:color w:val="auto"/>
          <w:sz w:val="28"/>
          <w:szCs w:val="28"/>
          <w:highlight w:val="none"/>
          <w:lang w:eastAsia="zh-CN"/>
        </w:rPr>
        <w:t>（</w:t>
      </w:r>
      <w:r>
        <w:rPr>
          <w:rFonts w:hint="eastAsia" w:ascii="仿宋_GB2312" w:eastAsia="仿宋_GB2312"/>
          <w:b/>
          <w:bCs w:val="0"/>
          <w:color w:val="auto"/>
          <w:sz w:val="28"/>
          <w:szCs w:val="28"/>
          <w:highlight w:val="none"/>
          <w:lang w:val="en-US" w:eastAsia="zh-CN"/>
        </w:rPr>
        <w:t>检测报告证明</w:t>
      </w:r>
      <w:r>
        <w:rPr>
          <w:rFonts w:hint="eastAsia" w:ascii="仿宋_GB2312" w:eastAsia="仿宋_GB2312"/>
          <w:b/>
          <w:bCs w:val="0"/>
          <w:color w:val="auto"/>
          <w:sz w:val="28"/>
          <w:szCs w:val="28"/>
          <w:highlight w:val="none"/>
          <w:lang w:eastAsia="zh-CN"/>
        </w:rPr>
        <w:t>）</w:t>
      </w:r>
    </w:p>
    <w:p w14:paraId="51A6931B">
      <w:pPr>
        <w:numPr>
          <w:ilvl w:val="1"/>
          <w:numId w:val="7"/>
        </w:numPr>
        <w:spacing w:line="360" w:lineRule="auto"/>
        <w:ind w:left="0" w:firstLine="0"/>
        <w:rPr>
          <w:rFonts w:hint="eastAsia" w:ascii="仿宋" w:eastAsia="仿宋" w:cs="仿宋"/>
          <w:color w:val="auto"/>
          <w:sz w:val="28"/>
          <w:szCs w:val="28"/>
          <w:highlight w:val="none"/>
        </w:rPr>
      </w:pPr>
      <w:r>
        <w:rPr>
          <w:rFonts w:ascii="仿宋_GB2312" w:eastAsia="仿宋_GB2312"/>
          <w:b/>
          <w:bCs w:val="0"/>
          <w:color w:val="auto"/>
          <w:sz w:val="28"/>
          <w:szCs w:val="28"/>
          <w:highlight w:val="none"/>
          <w:lang w:val="en-US" w:eastAsia="zh-CN"/>
        </w:rPr>
        <w:t>设备监控脉冲放电开关、恒温模块、脉冲储能器件温度。当冷却系统发生故障时，应有提示或停止磁场输出。（提供产品说明书证明）</w:t>
      </w:r>
    </w:p>
    <w:p w14:paraId="5D8F6C1F">
      <w:pPr>
        <w:numPr>
          <w:ilvl w:val="0"/>
          <w:numId w:val="7"/>
        </w:numPr>
        <w:spacing w:line="360" w:lineRule="auto"/>
        <w:ind w:left="0" w:firstLine="0"/>
        <w:jc w:val="left"/>
        <w:rPr>
          <w:rFonts w:ascii="仿宋_GB2312" w:eastAsia="仿宋_GB2312"/>
          <w:b/>
          <w:color w:val="auto"/>
          <w:sz w:val="28"/>
          <w:szCs w:val="28"/>
          <w:highlight w:val="none"/>
        </w:rPr>
      </w:pPr>
      <w:r>
        <w:rPr>
          <w:rFonts w:hint="eastAsia" w:ascii="仿宋_GB2312" w:eastAsia="仿宋_GB2312"/>
          <w:b/>
          <w:color w:val="auto"/>
          <w:sz w:val="28"/>
          <w:szCs w:val="28"/>
          <w:highlight w:val="none"/>
          <w:lang w:val="en-US" w:eastAsia="zh-CN"/>
        </w:rPr>
        <w:t>刺激线圈：</w:t>
      </w:r>
    </w:p>
    <w:p w14:paraId="474D7076">
      <w:pPr>
        <w:numPr>
          <w:ilvl w:val="1"/>
          <w:numId w:val="7"/>
        </w:numPr>
        <w:spacing w:line="360" w:lineRule="auto"/>
        <w:ind w:left="0" w:firstLine="0"/>
        <w:rPr>
          <w:rFonts w:hint="eastAsia" w:ascii="仿宋_GB2312" w:eastAsia="仿宋_GB2312"/>
          <w:color w:val="auto"/>
          <w:sz w:val="28"/>
          <w:szCs w:val="28"/>
          <w:highlight w:val="none"/>
        </w:rPr>
      </w:pPr>
      <w:r>
        <w:rPr>
          <w:rFonts w:hint="eastAsia" w:ascii="仿宋" w:eastAsia="仿宋" w:cs="仿宋"/>
          <w:color w:val="auto"/>
          <w:sz w:val="28"/>
          <w:szCs w:val="28"/>
          <w:highlight w:val="none"/>
        </w:rPr>
        <w:t>刺激线圈可选配</w:t>
      </w:r>
      <w:r>
        <w:rPr>
          <w:rFonts w:hint="eastAsia" w:ascii="仿宋" w:eastAsia="仿宋" w:cs="仿宋"/>
          <w:color w:val="auto"/>
          <w:sz w:val="28"/>
          <w:szCs w:val="28"/>
          <w:highlight w:val="none"/>
          <w:lang w:eastAsia="zh-CN"/>
        </w:rPr>
        <w:t>：</w:t>
      </w:r>
      <w:r>
        <w:rPr>
          <w:rFonts w:hint="eastAsia" w:ascii="仿宋" w:eastAsia="仿宋" w:cs="仿宋"/>
          <w:color w:val="auto"/>
          <w:sz w:val="28"/>
          <w:szCs w:val="28"/>
          <w:highlight w:val="none"/>
        </w:rPr>
        <w:t>成人八字形线圈</w:t>
      </w:r>
      <w:r>
        <w:rPr>
          <w:rFonts w:hint="eastAsia" w:ascii="仿宋" w:eastAsia="仿宋" w:cs="仿宋"/>
          <w:color w:val="auto"/>
          <w:sz w:val="28"/>
          <w:szCs w:val="28"/>
          <w:highlight w:val="none"/>
          <w:lang w:eastAsia="zh-CN"/>
        </w:rPr>
        <w:t>、</w:t>
      </w:r>
      <w:r>
        <w:rPr>
          <w:rFonts w:hint="eastAsia" w:ascii="仿宋" w:eastAsia="仿宋" w:cs="仿宋"/>
          <w:color w:val="auto"/>
          <w:sz w:val="28"/>
          <w:szCs w:val="28"/>
          <w:highlight w:val="none"/>
          <w:lang w:val="en-US" w:eastAsia="zh-CN"/>
        </w:rPr>
        <w:t>成人圆形</w:t>
      </w:r>
      <w:r>
        <w:rPr>
          <w:rFonts w:hint="eastAsia" w:ascii="仿宋" w:eastAsia="仿宋" w:cs="仿宋"/>
          <w:color w:val="auto"/>
          <w:sz w:val="28"/>
          <w:szCs w:val="28"/>
          <w:highlight w:val="none"/>
        </w:rPr>
        <w:t>线圈</w:t>
      </w:r>
      <w:r>
        <w:rPr>
          <w:rFonts w:hint="eastAsia" w:ascii="仿宋" w:eastAsia="仿宋" w:cs="仿宋"/>
          <w:color w:val="auto"/>
          <w:sz w:val="28"/>
          <w:szCs w:val="28"/>
          <w:highlight w:val="none"/>
          <w:lang w:eastAsia="zh-CN"/>
        </w:rPr>
        <w:t>、</w:t>
      </w:r>
      <w:r>
        <w:rPr>
          <w:rFonts w:hint="eastAsia" w:ascii="仿宋" w:eastAsia="仿宋" w:cs="仿宋"/>
          <w:color w:val="auto"/>
          <w:sz w:val="28"/>
          <w:szCs w:val="28"/>
          <w:highlight w:val="none"/>
          <w:lang w:val="en-US" w:eastAsia="zh-CN"/>
        </w:rPr>
        <w:t>儿童</w:t>
      </w:r>
      <w:r>
        <w:rPr>
          <w:rFonts w:hint="eastAsia" w:ascii="仿宋" w:eastAsia="仿宋" w:cs="仿宋"/>
          <w:color w:val="auto"/>
          <w:sz w:val="28"/>
          <w:szCs w:val="28"/>
          <w:highlight w:val="none"/>
        </w:rPr>
        <w:t>八字形线圈</w:t>
      </w:r>
      <w:r>
        <w:rPr>
          <w:rFonts w:hint="eastAsia" w:ascii="仿宋" w:eastAsia="仿宋" w:cs="仿宋"/>
          <w:color w:val="auto"/>
          <w:sz w:val="28"/>
          <w:szCs w:val="28"/>
          <w:highlight w:val="none"/>
          <w:lang w:eastAsia="zh-CN"/>
        </w:rPr>
        <w:t>、</w:t>
      </w:r>
      <w:r>
        <w:rPr>
          <w:rFonts w:hint="eastAsia" w:ascii="仿宋" w:eastAsia="仿宋" w:cs="仿宋"/>
          <w:color w:val="auto"/>
          <w:sz w:val="28"/>
          <w:szCs w:val="28"/>
          <w:highlight w:val="none"/>
          <w:lang w:val="en-US" w:eastAsia="zh-CN"/>
        </w:rPr>
        <w:t>儿童圆形</w:t>
      </w:r>
      <w:r>
        <w:rPr>
          <w:rFonts w:hint="eastAsia" w:ascii="仿宋" w:eastAsia="仿宋" w:cs="仿宋"/>
          <w:color w:val="auto"/>
          <w:sz w:val="28"/>
          <w:szCs w:val="28"/>
          <w:highlight w:val="none"/>
        </w:rPr>
        <w:t>线圈</w:t>
      </w:r>
      <w:r>
        <w:rPr>
          <w:rFonts w:hint="eastAsia" w:ascii="仿宋" w:eastAsia="仿宋" w:cs="仿宋"/>
          <w:color w:val="auto"/>
          <w:sz w:val="28"/>
          <w:szCs w:val="28"/>
          <w:highlight w:val="none"/>
          <w:lang w:eastAsia="zh-CN"/>
        </w:rPr>
        <w:t>、</w:t>
      </w:r>
      <w:r>
        <w:rPr>
          <w:rFonts w:hint="eastAsia" w:ascii="仿宋" w:eastAsia="仿宋" w:cs="仿宋"/>
          <w:color w:val="auto"/>
          <w:sz w:val="28"/>
          <w:szCs w:val="28"/>
          <w:highlight w:val="none"/>
          <w:lang w:val="en-US" w:eastAsia="zh-CN"/>
        </w:rPr>
        <w:t>动物线圈拍；</w:t>
      </w:r>
    </w:p>
    <w:p w14:paraId="637BF331">
      <w:pPr>
        <w:numPr>
          <w:ilvl w:val="1"/>
          <w:numId w:val="7"/>
        </w:numPr>
        <w:spacing w:line="360" w:lineRule="auto"/>
        <w:ind w:left="0" w:firstLine="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★可扩展科研用线圈拍包括：凹面型、动物型、盔式深部型、fNIRS-TMS集成型；（提供实物图片加以证明）</w:t>
      </w:r>
    </w:p>
    <w:p w14:paraId="1B55F90A">
      <w:pPr>
        <w:widowControl w:val="0"/>
        <w:numPr>
          <w:ilvl w:val="1"/>
          <w:numId w:val="7"/>
        </w:numPr>
        <w:spacing w:line="360" w:lineRule="auto"/>
        <w:ind w:left="0" w:firstLine="0"/>
        <w:jc w:val="both"/>
        <w:rPr>
          <w:rFonts w:hint="eastAsia" w:ascii="仿宋_GB2312" w:eastAsia="仿宋_GB2312"/>
          <w:b w:val="0"/>
          <w:bCs/>
          <w:color w:val="auto"/>
          <w:sz w:val="28"/>
          <w:szCs w:val="28"/>
          <w:highlight w:val="none"/>
        </w:rPr>
      </w:pPr>
      <w:r>
        <w:rPr>
          <w:rFonts w:hint="eastAsia" w:ascii="仿宋_GB2312" w:eastAsia="仿宋_GB2312"/>
          <w:b w:val="0"/>
          <w:bCs/>
          <w:color w:val="auto"/>
          <w:sz w:val="28"/>
          <w:szCs w:val="28"/>
          <w:highlight w:val="none"/>
          <w:lang w:val="en-US" w:eastAsia="zh-CN"/>
        </w:rPr>
        <w:t>线圈全封闭一体式工艺，双面双向无孔设计，加工一次成型；</w:t>
      </w:r>
      <w:r>
        <w:rPr>
          <w:rFonts w:hint="eastAsia" w:ascii="仿宋_GB2312" w:eastAsia="仿宋_GB2312"/>
          <w:b w:val="0"/>
          <w:bCs/>
          <w:color w:val="auto"/>
          <w:sz w:val="28"/>
          <w:szCs w:val="28"/>
          <w:highlight w:val="none"/>
        </w:rPr>
        <w:t>（省级及以上医疗器械检测中心出具的检测报告照片页证明</w:t>
      </w:r>
      <w:r>
        <w:rPr>
          <w:rFonts w:hint="eastAsia" w:ascii="仿宋_GB2312" w:eastAsia="仿宋_GB2312"/>
          <w:b w:val="0"/>
          <w:bCs/>
          <w:color w:val="auto"/>
          <w:sz w:val="28"/>
          <w:szCs w:val="28"/>
          <w:highlight w:val="none"/>
          <w:lang w:val="en-US" w:eastAsia="zh-CN"/>
        </w:rPr>
        <w:t>）</w:t>
      </w:r>
    </w:p>
    <w:p w14:paraId="2A752403">
      <w:pPr>
        <w:widowControl w:val="0"/>
        <w:numPr>
          <w:ilvl w:val="1"/>
          <w:numId w:val="7"/>
        </w:numPr>
        <w:spacing w:line="360" w:lineRule="auto"/>
        <w:ind w:left="0" w:firstLine="0"/>
        <w:jc w:val="both"/>
        <w:rPr>
          <w:rFonts w:hint="eastAsia" w:ascii="仿宋_GB2312" w:eastAsia="仿宋_GB2312"/>
          <w:b/>
          <w:color w:val="auto"/>
          <w:sz w:val="28"/>
          <w:szCs w:val="28"/>
          <w:highlight w:val="none"/>
        </w:rPr>
      </w:pPr>
      <w:r>
        <w:rPr>
          <w:rFonts w:hint="eastAsia" w:ascii="仿宋" w:eastAsia="仿宋" w:cs="仿宋"/>
          <w:color w:val="auto"/>
          <w:sz w:val="28"/>
          <w:szCs w:val="28"/>
          <w:highlight w:val="none"/>
          <w:lang w:val="zh-CN"/>
        </w:rPr>
        <w:t>★</w:t>
      </w:r>
      <w:r>
        <w:rPr>
          <w:rFonts w:hint="eastAsia" w:ascii="仿宋_GB2312" w:eastAsia="仿宋_GB2312"/>
          <w:b/>
          <w:bCs w:val="0"/>
          <w:color w:val="auto"/>
          <w:sz w:val="28"/>
          <w:szCs w:val="28"/>
          <w:highlight w:val="none"/>
        </w:rPr>
        <w:t>具有电动吸液和电动排液功能。</w:t>
      </w:r>
      <w:r>
        <w:rPr>
          <w:rFonts w:hint="eastAsia" w:ascii="仿宋_GB2312" w:eastAsia="仿宋_GB2312"/>
          <w:b/>
          <w:bCs w:val="0"/>
          <w:color w:val="auto"/>
          <w:sz w:val="28"/>
          <w:szCs w:val="28"/>
          <w:highlight w:val="none"/>
          <w:lang w:eastAsia="zh-CN"/>
        </w:rPr>
        <w:t>（</w:t>
      </w:r>
      <w:r>
        <w:rPr>
          <w:rFonts w:hint="eastAsia" w:ascii="仿宋_GB2312" w:eastAsia="仿宋_GB2312"/>
          <w:b/>
          <w:bCs w:val="0"/>
          <w:color w:val="auto"/>
          <w:sz w:val="28"/>
          <w:szCs w:val="28"/>
          <w:highlight w:val="none"/>
          <w:lang w:val="en-US" w:eastAsia="zh-CN"/>
        </w:rPr>
        <w:t>检验报告证明</w:t>
      </w:r>
      <w:r>
        <w:rPr>
          <w:rFonts w:hint="eastAsia" w:ascii="仿宋_GB2312" w:eastAsia="仿宋_GB2312"/>
          <w:b/>
          <w:bCs w:val="0"/>
          <w:color w:val="auto"/>
          <w:sz w:val="28"/>
          <w:szCs w:val="28"/>
          <w:highlight w:val="none"/>
          <w:lang w:eastAsia="zh-CN"/>
        </w:rPr>
        <w:t>）</w:t>
      </w:r>
    </w:p>
    <w:p w14:paraId="35922349">
      <w:pPr>
        <w:numPr>
          <w:ilvl w:val="0"/>
          <w:numId w:val="7"/>
        </w:numPr>
        <w:spacing w:line="360" w:lineRule="auto"/>
        <w:ind w:left="0" w:firstLine="0"/>
        <w:jc w:val="left"/>
        <w:rPr>
          <w:rFonts w:ascii="仿宋_GB2312" w:eastAsia="仿宋_GB2312"/>
          <w:b/>
          <w:color w:val="auto"/>
          <w:sz w:val="28"/>
          <w:szCs w:val="28"/>
          <w:highlight w:val="none"/>
        </w:rPr>
      </w:pPr>
      <w:r>
        <w:rPr>
          <w:rFonts w:hint="eastAsia" w:ascii="仿宋_GB2312" w:eastAsia="仿宋_GB2312"/>
          <w:b/>
          <w:color w:val="auto"/>
          <w:sz w:val="28"/>
          <w:szCs w:val="28"/>
          <w:highlight w:val="none"/>
        </w:rPr>
        <w:t>软件功能</w:t>
      </w:r>
      <w:r>
        <w:rPr>
          <w:rFonts w:hint="eastAsia" w:ascii="仿宋_GB2312" w:eastAsia="仿宋_GB2312"/>
          <w:b/>
          <w:color w:val="auto"/>
          <w:sz w:val="28"/>
          <w:szCs w:val="28"/>
          <w:highlight w:val="none"/>
          <w:lang w:val="en-US" w:eastAsia="zh-CN"/>
        </w:rPr>
        <w:t>：</w:t>
      </w:r>
    </w:p>
    <w:p w14:paraId="52B5895B">
      <w:pPr>
        <w:numPr>
          <w:ilvl w:val="1"/>
          <w:numId w:val="7"/>
        </w:numPr>
        <w:spacing w:line="360" w:lineRule="auto"/>
        <w:ind w:left="0" w:firstLine="0"/>
        <w:rPr>
          <w:rFonts w:hint="eastAsia" w:ascii="仿宋" w:eastAsia="仿宋" w:cs="仿宋"/>
          <w:strike w:val="0"/>
          <w:dstrike w:val="0"/>
          <w:color w:val="auto"/>
          <w:sz w:val="28"/>
          <w:szCs w:val="28"/>
          <w:highlight w:val="none"/>
        </w:rPr>
      </w:pPr>
      <w:r>
        <w:rPr>
          <w:rFonts w:hint="eastAsia" w:ascii="仿宋" w:eastAsia="仿宋" w:cs="仿宋"/>
          <w:b/>
          <w:bCs/>
          <w:strike w:val="0"/>
          <w:dstrike w:val="0"/>
          <w:color w:val="auto"/>
          <w:sz w:val="28"/>
          <w:szCs w:val="28"/>
          <w:highlight w:val="none"/>
        </w:rPr>
        <w:t>电脑操作管理方式，能实现：</w:t>
      </w:r>
    </w:p>
    <w:p w14:paraId="2BF16735">
      <w:pPr>
        <w:numPr>
          <w:ilvl w:val="0"/>
          <w:numId w:val="0"/>
        </w:numPr>
        <w:spacing w:line="360" w:lineRule="auto"/>
        <w:rPr>
          <w:rFonts w:hint="eastAsia" w:ascii="仿宋" w:eastAsia="仿宋" w:cs="仿宋"/>
          <w:strike w:val="0"/>
          <w:dstrike w:val="0"/>
          <w:color w:val="auto"/>
          <w:sz w:val="28"/>
          <w:szCs w:val="28"/>
          <w:highlight w:val="none"/>
        </w:rPr>
      </w:pPr>
      <w:r>
        <w:rPr>
          <w:rFonts w:hint="eastAsia" w:ascii="仿宋" w:eastAsia="仿宋" w:cs="仿宋"/>
          <w:strike w:val="0"/>
          <w:dstrike w:val="0"/>
          <w:color w:val="auto"/>
          <w:sz w:val="28"/>
          <w:szCs w:val="28"/>
          <w:highlight w:val="none"/>
          <w:lang w:val="en-US" w:eastAsia="zh-CN"/>
        </w:rPr>
        <w:t>4.1.1</w:t>
      </w:r>
      <w:r>
        <w:rPr>
          <w:rFonts w:hint="eastAsia" w:ascii="仿宋" w:eastAsia="仿宋" w:cs="仿宋"/>
          <w:strike w:val="0"/>
          <w:dstrike w:val="0"/>
          <w:color w:val="auto"/>
          <w:sz w:val="28"/>
          <w:szCs w:val="28"/>
          <w:highlight w:val="none"/>
        </w:rPr>
        <w:t>硬盘储存、USB储存；</w:t>
      </w:r>
    </w:p>
    <w:p w14:paraId="4C34F0A2">
      <w:pPr>
        <w:numPr>
          <w:ilvl w:val="0"/>
          <w:numId w:val="0"/>
        </w:numPr>
        <w:spacing w:line="360" w:lineRule="auto"/>
        <w:rPr>
          <w:rFonts w:hint="eastAsia" w:ascii="仿宋" w:eastAsia="仿宋" w:cs="仿宋"/>
          <w:strike w:val="0"/>
          <w:dstrike w:val="0"/>
          <w:color w:val="auto"/>
          <w:sz w:val="28"/>
          <w:szCs w:val="28"/>
          <w:highlight w:val="none"/>
        </w:rPr>
      </w:pPr>
      <w:r>
        <w:rPr>
          <w:rFonts w:hint="eastAsia" w:ascii="仿宋" w:eastAsia="仿宋" w:cs="仿宋"/>
          <w:strike w:val="0"/>
          <w:dstrike w:val="0"/>
          <w:color w:val="auto"/>
          <w:sz w:val="28"/>
          <w:szCs w:val="28"/>
          <w:highlight w:val="none"/>
          <w:lang w:val="en-US" w:eastAsia="zh-CN"/>
        </w:rPr>
        <w:t>4.1.2</w:t>
      </w:r>
      <w:r>
        <w:rPr>
          <w:rFonts w:hint="eastAsia" w:ascii="仿宋" w:eastAsia="仿宋" w:cs="仿宋"/>
          <w:strike w:val="0"/>
          <w:dstrike w:val="0"/>
          <w:color w:val="auto"/>
          <w:sz w:val="28"/>
          <w:szCs w:val="28"/>
          <w:highlight w:val="none"/>
        </w:rPr>
        <w:t>专家方案、病历管理、以及病历打印输出；</w:t>
      </w:r>
    </w:p>
    <w:p w14:paraId="427BBA7B">
      <w:pPr>
        <w:numPr>
          <w:ilvl w:val="0"/>
          <w:numId w:val="0"/>
        </w:numPr>
        <w:spacing w:line="360" w:lineRule="auto"/>
        <w:rPr>
          <w:rFonts w:hint="eastAsia" w:ascii="仿宋" w:eastAsia="仿宋" w:cs="仿宋"/>
          <w:strike w:val="0"/>
          <w:dstrike w:val="0"/>
          <w:color w:val="auto"/>
          <w:sz w:val="28"/>
          <w:szCs w:val="28"/>
          <w:highlight w:val="none"/>
        </w:rPr>
      </w:pPr>
      <w:r>
        <w:rPr>
          <w:rFonts w:hint="eastAsia" w:ascii="仿宋" w:eastAsia="仿宋" w:cs="仿宋"/>
          <w:strike w:val="0"/>
          <w:dstrike w:val="0"/>
          <w:color w:val="auto"/>
          <w:sz w:val="28"/>
          <w:szCs w:val="28"/>
          <w:highlight w:val="none"/>
          <w:lang w:val="en-US" w:eastAsia="zh-CN"/>
        </w:rPr>
        <w:t>4.1.3</w:t>
      </w:r>
      <w:r>
        <w:rPr>
          <w:rFonts w:hint="eastAsia" w:ascii="仿宋" w:eastAsia="仿宋" w:cs="仿宋"/>
          <w:strike w:val="0"/>
          <w:dstrike w:val="0"/>
          <w:color w:val="auto"/>
          <w:sz w:val="28"/>
          <w:szCs w:val="28"/>
          <w:highlight w:val="none"/>
        </w:rPr>
        <w:t>刺激模式图形（数字）仿真、温度显示与控制保护。</w:t>
      </w:r>
    </w:p>
    <w:p w14:paraId="1D6E071B">
      <w:pPr>
        <w:numPr>
          <w:ilvl w:val="0"/>
          <w:numId w:val="7"/>
        </w:numPr>
        <w:spacing w:line="360" w:lineRule="auto"/>
        <w:ind w:left="0" w:firstLine="0"/>
        <w:jc w:val="left"/>
        <w:rPr>
          <w:rFonts w:ascii="仿宋_GB2312" w:eastAsia="仿宋_GB2312"/>
          <w:b w:val="0"/>
          <w:bCs/>
          <w:color w:val="auto"/>
          <w:sz w:val="28"/>
          <w:szCs w:val="28"/>
          <w:highlight w:val="none"/>
          <w:lang w:val="en-US" w:eastAsia="zh-CN"/>
        </w:rPr>
      </w:pPr>
      <w:r>
        <w:rPr>
          <w:rFonts w:hint="eastAsia" w:ascii="仿宋_GB2312" w:eastAsia="仿宋_GB2312"/>
          <w:b/>
          <w:color w:val="auto"/>
          <w:sz w:val="28"/>
          <w:szCs w:val="28"/>
          <w:highlight w:val="none"/>
          <w:lang w:val="en-US" w:eastAsia="zh-CN"/>
        </w:rPr>
        <w:t>检测模式：</w:t>
      </w:r>
    </w:p>
    <w:p w14:paraId="7119733C">
      <w:pPr>
        <w:widowControl w:val="0"/>
        <w:numPr>
          <w:ilvl w:val="1"/>
          <w:numId w:val="7"/>
        </w:numPr>
        <w:spacing w:line="360" w:lineRule="auto"/>
        <w:ind w:left="0" w:firstLine="0"/>
        <w:jc w:val="both"/>
        <w:rPr>
          <w:rFonts w:hint="eastAsia" w:ascii="仿宋_GB2312" w:eastAsia="仿宋_GB2312"/>
          <w:b/>
          <w:color w:val="auto"/>
          <w:sz w:val="28"/>
          <w:szCs w:val="28"/>
          <w:highlight w:val="none"/>
        </w:rPr>
      </w:pPr>
      <w:r>
        <w:rPr>
          <w:rFonts w:hint="eastAsia" w:ascii="仿宋_GB2312" w:eastAsia="仿宋_GB2312"/>
          <w:b/>
          <w:bCs w:val="0"/>
          <w:color w:val="auto"/>
          <w:sz w:val="28"/>
          <w:szCs w:val="28"/>
          <w:highlight w:val="none"/>
          <w:lang w:val="en-US" w:eastAsia="zh-CN"/>
        </w:rPr>
        <w:t>检测项目：</w:t>
      </w:r>
      <w:r>
        <w:rPr>
          <w:rFonts w:hint="eastAsia" w:ascii="仿宋_GB2312" w:eastAsia="仿宋_GB2312"/>
          <w:b w:val="0"/>
          <w:bCs/>
          <w:color w:val="auto"/>
          <w:sz w:val="28"/>
          <w:szCs w:val="28"/>
          <w:highlight w:val="none"/>
          <w:lang w:val="en-US" w:eastAsia="zh-CN"/>
        </w:rPr>
        <w:t>支持运动阈值（MT）、运动诱发电位（MEP）、中枢神经传导时间（CMCT）、静息期检测（CSP）、不同脑区抑制、易化（IHI\IHF）的检测功能；</w:t>
      </w:r>
    </w:p>
    <w:p w14:paraId="054F4903">
      <w:pPr>
        <w:numPr>
          <w:ilvl w:val="1"/>
          <w:numId w:val="7"/>
        </w:numPr>
        <w:spacing w:line="360" w:lineRule="auto"/>
        <w:ind w:left="0" w:firstLine="0"/>
        <w:jc w:val="left"/>
        <w:rPr>
          <w:rFonts w:hint="eastAsia" w:ascii="仿宋_GB2312" w:eastAsia="仿宋_GB2312"/>
          <w:b w:val="0"/>
          <w:bCs/>
          <w:color w:val="auto"/>
          <w:sz w:val="28"/>
          <w:szCs w:val="28"/>
          <w:highlight w:val="none"/>
          <w:lang w:val="en-US" w:eastAsia="zh-CN"/>
        </w:rPr>
      </w:pPr>
      <w:r>
        <w:rPr>
          <w:rFonts w:hint="eastAsia" w:ascii="仿宋_GB2312" w:eastAsia="仿宋_GB2312"/>
          <w:b/>
          <w:bCs w:val="0"/>
          <w:color w:val="auto"/>
          <w:sz w:val="28"/>
          <w:szCs w:val="28"/>
          <w:highlight w:val="none"/>
          <w:lang w:val="en-US" w:eastAsia="zh-CN"/>
        </w:rPr>
        <w:t>检测记录：</w:t>
      </w:r>
      <w:r>
        <w:rPr>
          <w:rFonts w:hint="eastAsia" w:ascii="仿宋_GB2312" w:eastAsia="仿宋_GB2312"/>
          <w:b w:val="0"/>
          <w:bCs/>
          <w:color w:val="auto"/>
          <w:sz w:val="28"/>
          <w:szCs w:val="28"/>
          <w:highlight w:val="none"/>
          <w:lang w:val="en-US" w:eastAsia="zh-CN"/>
        </w:rPr>
        <w:t>运动阈值与治疗方案自动记忆功能，可对保存文档中波形与数据进行复现；</w:t>
      </w:r>
    </w:p>
    <w:p w14:paraId="14315E28">
      <w:pPr>
        <w:numPr>
          <w:ilvl w:val="1"/>
          <w:numId w:val="7"/>
        </w:numPr>
        <w:spacing w:line="360" w:lineRule="auto"/>
        <w:ind w:left="0" w:firstLine="0"/>
        <w:jc w:val="left"/>
        <w:rPr>
          <w:rFonts w:ascii="仿宋_GB2312" w:eastAsia="仿宋_GB2312"/>
          <w:b/>
          <w:bCs w:val="0"/>
          <w:color w:val="auto"/>
          <w:sz w:val="28"/>
          <w:szCs w:val="28"/>
          <w:highlight w:val="none"/>
          <w:lang w:val="en-US" w:eastAsia="zh-CN"/>
        </w:rPr>
      </w:pPr>
      <w:r>
        <w:rPr>
          <w:rFonts w:hint="eastAsia" w:ascii="仿宋_GB2312" w:eastAsia="仿宋_GB2312"/>
          <w:b/>
          <w:color w:val="auto"/>
          <w:sz w:val="28"/>
          <w:szCs w:val="28"/>
          <w:highlight w:val="none"/>
          <w:lang w:val="en-US" w:eastAsia="zh-CN"/>
        </w:rPr>
        <w:t>具备自动计算神经传导时间功能；</w:t>
      </w:r>
    </w:p>
    <w:p w14:paraId="44FDF41D">
      <w:pPr>
        <w:numPr>
          <w:ilvl w:val="1"/>
          <w:numId w:val="7"/>
        </w:numPr>
        <w:spacing w:line="360" w:lineRule="auto"/>
        <w:ind w:left="0" w:firstLine="0"/>
        <w:rPr>
          <w:rFonts w:hint="eastAsia" w:ascii="仿宋_GB2312" w:eastAsia="仿宋_GB2312"/>
          <w:b/>
          <w:color w:val="auto"/>
          <w:sz w:val="28"/>
          <w:szCs w:val="28"/>
          <w:highlight w:val="none"/>
          <w:lang w:val="en-US" w:eastAsia="zh-CN"/>
        </w:rPr>
      </w:pPr>
      <w:r>
        <w:rPr>
          <w:rFonts w:hint="eastAsia" w:ascii="仿宋_GB2312" w:eastAsia="仿宋_GB2312"/>
          <w:b/>
          <w:color w:val="auto"/>
          <w:sz w:val="28"/>
          <w:szCs w:val="28"/>
          <w:highlight w:val="none"/>
          <w:lang w:val="en-US" w:eastAsia="zh-CN"/>
        </w:rPr>
        <w:t>实时</w:t>
      </w:r>
      <w:r>
        <w:rPr>
          <w:rFonts w:ascii="仿宋_GB2312" w:eastAsia="仿宋_GB2312"/>
          <w:b/>
          <w:color w:val="auto"/>
          <w:sz w:val="28"/>
          <w:szCs w:val="28"/>
          <w:highlight w:val="none"/>
          <w:lang w:val="en-US" w:eastAsia="zh-CN"/>
        </w:rPr>
        <w:t>MEP</w:t>
      </w:r>
      <w:r>
        <w:rPr>
          <w:rFonts w:hint="eastAsia" w:ascii="仿宋_GB2312" w:eastAsia="仿宋_GB2312"/>
          <w:b/>
          <w:color w:val="auto"/>
          <w:sz w:val="28"/>
          <w:szCs w:val="28"/>
          <w:highlight w:val="none"/>
          <w:lang w:val="en-US" w:eastAsia="zh-CN"/>
        </w:rPr>
        <w:t>（</w:t>
      </w:r>
      <w:r>
        <w:rPr>
          <w:rFonts w:ascii="仿宋_GB2312" w:eastAsia="仿宋_GB2312"/>
          <w:b/>
          <w:color w:val="auto"/>
          <w:sz w:val="28"/>
          <w:szCs w:val="28"/>
          <w:highlight w:val="none"/>
          <w:lang w:val="en-US" w:eastAsia="zh-CN"/>
        </w:rPr>
        <w:t>EMG</w:t>
      </w:r>
      <w:r>
        <w:rPr>
          <w:rFonts w:hint="eastAsia" w:ascii="仿宋_GB2312" w:eastAsia="仿宋_GB2312"/>
          <w:b/>
          <w:color w:val="auto"/>
          <w:sz w:val="28"/>
          <w:szCs w:val="28"/>
          <w:highlight w:val="none"/>
          <w:lang w:val="en-US" w:eastAsia="zh-CN"/>
        </w:rPr>
        <w:t>）信息显示；</w:t>
      </w:r>
    </w:p>
    <w:p w14:paraId="10BFA722">
      <w:pPr>
        <w:numPr>
          <w:ilvl w:val="2"/>
          <w:numId w:val="7"/>
        </w:numPr>
        <w:spacing w:line="360" w:lineRule="auto"/>
        <w:ind w:left="0" w:firstLine="0"/>
        <w:rPr>
          <w:rFonts w:ascii="仿宋_GB2312" w:eastAsia="仿宋_GB2312"/>
          <w:b/>
          <w:bCs w:val="0"/>
          <w:color w:val="auto"/>
          <w:sz w:val="28"/>
          <w:szCs w:val="28"/>
          <w:highlight w:val="none"/>
          <w:lang w:val="en-US" w:eastAsia="zh-CN"/>
        </w:rPr>
      </w:pPr>
      <w:r>
        <w:rPr>
          <w:rFonts w:hint="eastAsia" w:ascii="仿宋" w:eastAsia="仿宋" w:cs="仿宋"/>
          <w:b/>
          <w:bCs/>
          <w:color w:val="auto"/>
          <w:sz w:val="28"/>
          <w:szCs w:val="28"/>
          <w:highlight w:val="none"/>
        </w:rPr>
        <w:t>双通道MEP检测功能，采样率不低于100KHz。</w:t>
      </w:r>
      <w:r>
        <w:rPr>
          <w:rFonts w:hint="eastAsia" w:ascii="仿宋_GB2312" w:eastAsia="仿宋_GB2312"/>
          <w:b/>
          <w:color w:val="auto"/>
          <w:sz w:val="28"/>
          <w:szCs w:val="28"/>
          <w:highlight w:val="none"/>
        </w:rPr>
        <w:t>（</w:t>
      </w:r>
      <w:r>
        <w:rPr>
          <w:rFonts w:hint="eastAsia" w:ascii="仿宋_GB2312" w:eastAsia="仿宋_GB2312"/>
          <w:b/>
          <w:color w:val="auto"/>
          <w:sz w:val="28"/>
          <w:szCs w:val="28"/>
          <w:highlight w:val="none"/>
          <w:lang w:eastAsia="zh-CN"/>
        </w:rPr>
        <w:t>省级及以上医疗器械检测中心出具的</w:t>
      </w:r>
      <w:r>
        <w:rPr>
          <w:rFonts w:hint="eastAsia" w:ascii="仿宋_GB2312" w:eastAsia="仿宋_GB2312"/>
          <w:b/>
          <w:color w:val="auto"/>
          <w:sz w:val="28"/>
          <w:szCs w:val="28"/>
          <w:highlight w:val="none"/>
          <w:lang w:val="en-US" w:eastAsia="zh-CN"/>
        </w:rPr>
        <w:t>注册检验报告</w:t>
      </w:r>
      <w:r>
        <w:rPr>
          <w:rFonts w:hint="eastAsia" w:ascii="仿宋_GB2312" w:eastAsia="仿宋_GB2312"/>
          <w:b/>
          <w:color w:val="auto"/>
          <w:sz w:val="28"/>
          <w:szCs w:val="28"/>
          <w:highlight w:val="none"/>
          <w:lang w:eastAsia="zh-CN"/>
        </w:rPr>
        <w:t>证明</w:t>
      </w:r>
      <w:r>
        <w:rPr>
          <w:rFonts w:hint="eastAsia" w:ascii="仿宋_GB2312" w:eastAsia="仿宋_GB2312"/>
          <w:b/>
          <w:color w:val="auto"/>
          <w:sz w:val="28"/>
          <w:szCs w:val="28"/>
          <w:highlight w:val="none"/>
          <w:lang w:val="en-US" w:eastAsia="zh-CN"/>
        </w:rPr>
        <w:t>）</w:t>
      </w:r>
    </w:p>
    <w:p w14:paraId="5D2A4FA8">
      <w:pPr>
        <w:numPr>
          <w:ilvl w:val="2"/>
          <w:numId w:val="7"/>
        </w:numPr>
        <w:spacing w:line="360" w:lineRule="auto"/>
        <w:ind w:left="0" w:firstLine="0"/>
        <w:rPr>
          <w:rFonts w:ascii="仿宋_GB2312" w:eastAsia="仿宋_GB2312"/>
          <w:b/>
          <w:bCs w:val="0"/>
          <w:color w:val="auto"/>
          <w:sz w:val="28"/>
          <w:szCs w:val="28"/>
          <w:highlight w:val="none"/>
          <w:lang w:val="en-US" w:eastAsia="zh-CN"/>
        </w:rPr>
      </w:pPr>
      <w:r>
        <w:rPr>
          <w:rFonts w:hint="eastAsia" w:ascii="仿宋_GB2312" w:eastAsia="仿宋_GB2312"/>
          <w:b/>
          <w:color w:val="auto"/>
          <w:sz w:val="28"/>
          <w:szCs w:val="28"/>
          <w:highlight w:val="none"/>
        </w:rPr>
        <w:t>传输方式：</w:t>
      </w:r>
      <w:r>
        <w:rPr>
          <w:rFonts w:hint="eastAsia" w:ascii="仿宋_GB2312" w:eastAsia="仿宋_GB2312"/>
          <w:b w:val="0"/>
          <w:bCs/>
          <w:color w:val="auto"/>
          <w:sz w:val="28"/>
          <w:szCs w:val="28"/>
          <w:highlight w:val="none"/>
          <w:lang w:val="en-US" w:eastAsia="zh-CN"/>
        </w:rPr>
        <w:t>有线传输</w:t>
      </w:r>
      <w:r>
        <w:rPr>
          <w:rFonts w:hint="eastAsia" w:ascii="仿宋_GB2312" w:eastAsia="仿宋_GB2312"/>
          <w:b w:val="0"/>
          <w:bCs/>
          <w:color w:val="auto"/>
          <w:sz w:val="28"/>
          <w:szCs w:val="28"/>
          <w:highlight w:val="none"/>
        </w:rPr>
        <w:t>内置MEP模块</w:t>
      </w:r>
      <w:r>
        <w:rPr>
          <w:rFonts w:hint="eastAsia" w:ascii="仿宋_GB2312" w:eastAsia="仿宋_GB2312"/>
          <w:b w:val="0"/>
          <w:bCs/>
          <w:color w:val="auto"/>
          <w:sz w:val="28"/>
          <w:szCs w:val="28"/>
          <w:highlight w:val="none"/>
          <w:lang w:eastAsia="zh-CN"/>
        </w:rPr>
        <w:t>（</w:t>
      </w:r>
      <w:r>
        <w:rPr>
          <w:rFonts w:hint="eastAsia" w:ascii="仿宋_GB2312" w:eastAsia="仿宋_GB2312"/>
          <w:b w:val="0"/>
          <w:bCs/>
          <w:color w:val="auto"/>
          <w:sz w:val="28"/>
          <w:szCs w:val="28"/>
          <w:highlight w:val="none"/>
          <w:lang w:val="en-US" w:eastAsia="zh-CN"/>
        </w:rPr>
        <w:t>MEP模块集成于机箱内部</w:t>
      </w:r>
      <w:r>
        <w:rPr>
          <w:rFonts w:hint="eastAsia" w:ascii="仿宋_GB2312" w:eastAsia="仿宋_GB2312"/>
          <w:b w:val="0"/>
          <w:bCs/>
          <w:color w:val="auto"/>
          <w:sz w:val="28"/>
          <w:szCs w:val="28"/>
          <w:highlight w:val="none"/>
          <w:lang w:eastAsia="zh-CN"/>
        </w:rPr>
        <w:t>），</w:t>
      </w:r>
      <w:r>
        <w:rPr>
          <w:rFonts w:hint="eastAsia" w:ascii="仿宋_GB2312" w:eastAsia="仿宋_GB2312"/>
          <w:b w:val="0"/>
          <w:bCs/>
          <w:color w:val="auto"/>
          <w:sz w:val="28"/>
          <w:szCs w:val="28"/>
          <w:highlight w:val="none"/>
          <w:lang w:val="en-US" w:eastAsia="zh-CN"/>
        </w:rPr>
        <w:t>信号稳定无需充电</w:t>
      </w:r>
      <w:r>
        <w:rPr>
          <w:rFonts w:hint="eastAsia" w:ascii="仿宋_GB2312" w:eastAsia="仿宋_GB2312"/>
          <w:b w:val="0"/>
          <w:bCs/>
          <w:color w:val="auto"/>
          <w:sz w:val="28"/>
          <w:szCs w:val="28"/>
          <w:highlight w:val="none"/>
          <w:lang w:eastAsia="zh-CN"/>
        </w:rPr>
        <w:t>（</w:t>
      </w:r>
      <w:r>
        <w:rPr>
          <w:rFonts w:hint="eastAsia" w:ascii="仿宋_GB2312" w:eastAsia="仿宋_GB2312"/>
          <w:b w:val="0"/>
          <w:bCs/>
          <w:color w:val="auto"/>
          <w:sz w:val="28"/>
          <w:szCs w:val="28"/>
          <w:highlight w:val="none"/>
        </w:rPr>
        <w:t>非外挂</w:t>
      </w:r>
      <w:r>
        <w:rPr>
          <w:rFonts w:hint="eastAsia" w:ascii="仿宋_GB2312" w:eastAsia="仿宋_GB2312"/>
          <w:b w:val="0"/>
          <w:bCs/>
          <w:color w:val="auto"/>
          <w:sz w:val="28"/>
          <w:szCs w:val="28"/>
          <w:highlight w:val="none"/>
          <w:lang w:val="en-US" w:eastAsia="zh-CN"/>
        </w:rPr>
        <w:t>式无线MEP模块）</w:t>
      </w:r>
    </w:p>
    <w:p w14:paraId="3FF6D462">
      <w:pPr>
        <w:numPr>
          <w:ilvl w:val="2"/>
          <w:numId w:val="7"/>
        </w:numPr>
        <w:spacing w:line="360" w:lineRule="auto"/>
        <w:ind w:left="0" w:firstLine="0"/>
        <w:jc w:val="left"/>
        <w:rPr>
          <w:rFonts w:ascii="仿宋_GB2312" w:eastAsia="仿宋_GB2312"/>
          <w:b/>
          <w:bCs w:val="0"/>
          <w:color w:val="auto"/>
          <w:sz w:val="28"/>
          <w:szCs w:val="28"/>
          <w:highlight w:val="none"/>
          <w:lang w:val="en-US" w:eastAsia="zh-CN"/>
        </w:rPr>
      </w:pPr>
      <w:r>
        <w:rPr>
          <w:rFonts w:hint="eastAsia" w:ascii="仿宋" w:eastAsia="仿宋" w:cs="仿宋"/>
          <w:color w:val="auto"/>
          <w:sz w:val="28"/>
          <w:szCs w:val="28"/>
          <w:highlight w:val="none"/>
          <w:lang w:val="zh-CN"/>
        </w:rPr>
        <w:t>★</w:t>
      </w:r>
      <w:r>
        <w:rPr>
          <w:rFonts w:hint="eastAsia" w:ascii="仿宋_GB2312" w:eastAsia="仿宋_GB2312"/>
          <w:b/>
          <w:color w:val="auto"/>
          <w:sz w:val="28"/>
          <w:szCs w:val="28"/>
          <w:highlight w:val="none"/>
        </w:rPr>
        <w:t>最小分辨率：</w:t>
      </w:r>
      <w:r>
        <w:rPr>
          <w:rFonts w:hint="eastAsia" w:ascii="仿宋_GB2312" w:eastAsia="仿宋_GB2312"/>
          <w:b w:val="0"/>
          <w:bCs/>
          <w:color w:val="auto"/>
          <w:sz w:val="28"/>
          <w:szCs w:val="28"/>
          <w:highlight w:val="none"/>
        </w:rPr>
        <w:t>≤0.</w:t>
      </w:r>
      <w:r>
        <w:rPr>
          <w:rFonts w:hint="eastAsia" w:ascii="仿宋_GB2312" w:eastAsia="仿宋_GB2312"/>
          <w:b w:val="0"/>
          <w:bCs/>
          <w:color w:val="auto"/>
          <w:sz w:val="28"/>
          <w:szCs w:val="28"/>
          <w:highlight w:val="none"/>
          <w:lang w:val="en-US" w:eastAsia="zh-CN"/>
        </w:rPr>
        <w:t>1</w:t>
      </w:r>
      <w:r>
        <w:rPr>
          <w:rFonts w:hint="eastAsia" w:ascii="仿宋_GB2312" w:eastAsia="仿宋_GB2312"/>
          <w:b w:val="0"/>
          <w:bCs/>
          <w:color w:val="auto"/>
          <w:sz w:val="28"/>
          <w:szCs w:val="28"/>
          <w:highlight w:val="none"/>
        </w:rPr>
        <w:t>μV。</w:t>
      </w:r>
    </w:p>
    <w:p w14:paraId="7232B910">
      <w:pPr>
        <w:numPr>
          <w:ilvl w:val="2"/>
          <w:numId w:val="7"/>
        </w:numPr>
        <w:spacing w:line="360" w:lineRule="auto"/>
        <w:ind w:left="0" w:firstLine="0"/>
        <w:jc w:val="left"/>
        <w:rPr>
          <w:rFonts w:ascii="仿宋_GB2312" w:eastAsia="仿宋_GB2312"/>
          <w:b/>
          <w:bCs w:val="0"/>
          <w:color w:val="auto"/>
          <w:sz w:val="28"/>
          <w:szCs w:val="28"/>
          <w:highlight w:val="none"/>
          <w:lang w:val="en-US" w:eastAsia="zh-CN"/>
        </w:rPr>
      </w:pPr>
      <w:r>
        <w:rPr>
          <w:rFonts w:hint="eastAsia" w:ascii="仿宋" w:eastAsia="仿宋" w:cs="仿宋"/>
          <w:color w:val="auto"/>
          <w:sz w:val="28"/>
          <w:szCs w:val="28"/>
          <w:highlight w:val="none"/>
          <w:lang w:val="zh-CN"/>
        </w:rPr>
        <w:t>★</w:t>
      </w:r>
      <w:r>
        <w:rPr>
          <w:rFonts w:hint="eastAsia" w:ascii="仿宋_GB2312" w:eastAsia="仿宋_GB2312"/>
          <w:b/>
          <w:color w:val="auto"/>
          <w:sz w:val="28"/>
          <w:szCs w:val="28"/>
          <w:highlight w:val="none"/>
        </w:rPr>
        <w:t>频率测量范围</w:t>
      </w:r>
      <w:r>
        <w:rPr>
          <w:rFonts w:hint="eastAsia" w:ascii="仿宋_GB2312" w:eastAsia="仿宋_GB2312"/>
          <w:b/>
          <w:color w:val="auto"/>
          <w:sz w:val="28"/>
          <w:szCs w:val="28"/>
          <w:highlight w:val="none"/>
          <w:lang w:eastAsia="zh-CN"/>
        </w:rPr>
        <w:t>：</w:t>
      </w:r>
      <w:r>
        <w:rPr>
          <w:rFonts w:hint="eastAsia" w:ascii="仿宋_GB2312" w:eastAsia="仿宋_GB2312"/>
          <w:b w:val="0"/>
          <w:bCs/>
          <w:strike w:val="0"/>
          <w:dstrike w:val="0"/>
          <w:color w:val="auto"/>
          <w:sz w:val="28"/>
          <w:szCs w:val="28"/>
          <w:highlight w:val="none"/>
        </w:rPr>
        <w:t>1Hz</w:t>
      </w:r>
      <w:r>
        <w:rPr>
          <w:rFonts w:hint="eastAsia" w:ascii="微软雅黑" w:eastAsia="微软雅黑" w:cs="微软雅黑"/>
          <w:b w:val="0"/>
          <w:bCs/>
          <w:strike w:val="0"/>
          <w:dstrike w:val="0"/>
          <w:color w:val="auto"/>
          <w:sz w:val="28"/>
          <w:szCs w:val="28"/>
          <w:highlight w:val="none"/>
        </w:rPr>
        <w:t>~</w:t>
      </w:r>
      <w:r>
        <w:rPr>
          <w:rFonts w:hint="eastAsia" w:ascii="仿宋_GB2312" w:eastAsia="仿宋_GB2312"/>
          <w:b w:val="0"/>
          <w:bCs/>
          <w:strike w:val="0"/>
          <w:dstrike w:val="0"/>
          <w:color w:val="auto"/>
          <w:sz w:val="28"/>
          <w:szCs w:val="28"/>
          <w:highlight w:val="none"/>
          <w:lang w:val="en-US" w:eastAsia="zh-CN"/>
        </w:rPr>
        <w:t>2</w:t>
      </w:r>
      <w:r>
        <w:rPr>
          <w:rFonts w:hint="eastAsia" w:ascii="仿宋_GB2312" w:eastAsia="仿宋_GB2312"/>
          <w:b w:val="0"/>
          <w:bCs/>
          <w:strike w:val="0"/>
          <w:dstrike w:val="0"/>
          <w:color w:val="auto"/>
          <w:sz w:val="28"/>
          <w:szCs w:val="28"/>
          <w:highlight w:val="none"/>
        </w:rPr>
        <w:t>5KHz</w:t>
      </w:r>
      <w:r>
        <w:rPr>
          <w:rFonts w:hint="eastAsia" w:ascii="仿宋_GB2312" w:eastAsia="仿宋_GB2312"/>
          <w:b w:val="0"/>
          <w:bCs/>
          <w:strike w:val="0"/>
          <w:dstrike w:val="0"/>
          <w:color w:val="auto"/>
          <w:sz w:val="28"/>
          <w:szCs w:val="28"/>
          <w:highlight w:val="none"/>
          <w:lang w:eastAsia="zh-CN"/>
        </w:rPr>
        <w:t>。</w:t>
      </w:r>
      <w:r>
        <w:rPr>
          <w:rFonts w:hint="eastAsia" w:ascii="仿宋_GB2312" w:eastAsia="仿宋_GB2312"/>
          <w:b/>
          <w:color w:val="auto"/>
          <w:sz w:val="28"/>
          <w:szCs w:val="28"/>
          <w:highlight w:val="none"/>
        </w:rPr>
        <w:t>（</w:t>
      </w:r>
      <w:r>
        <w:rPr>
          <w:rFonts w:hint="eastAsia" w:ascii="仿宋_GB2312" w:eastAsia="仿宋_GB2312"/>
          <w:b/>
          <w:color w:val="auto"/>
          <w:sz w:val="28"/>
          <w:szCs w:val="28"/>
          <w:highlight w:val="none"/>
          <w:lang w:eastAsia="zh-CN"/>
        </w:rPr>
        <w:t>第三方检测报告证明</w:t>
      </w:r>
      <w:r>
        <w:rPr>
          <w:rFonts w:hint="eastAsia" w:ascii="仿宋_GB2312" w:eastAsia="仿宋_GB2312"/>
          <w:b/>
          <w:color w:val="auto"/>
          <w:sz w:val="28"/>
          <w:szCs w:val="28"/>
          <w:highlight w:val="none"/>
        </w:rPr>
        <w:t>）</w:t>
      </w:r>
    </w:p>
    <w:p w14:paraId="52CD1B18">
      <w:pPr>
        <w:numPr>
          <w:ilvl w:val="0"/>
          <w:numId w:val="7"/>
        </w:numPr>
        <w:spacing w:line="360" w:lineRule="auto"/>
        <w:ind w:left="0" w:firstLine="0"/>
        <w:jc w:val="left"/>
        <w:rPr>
          <w:color w:val="auto"/>
          <w:sz w:val="28"/>
          <w:szCs w:val="28"/>
          <w:highlight w:val="none"/>
        </w:rPr>
      </w:pPr>
      <w:r>
        <w:rPr>
          <w:rFonts w:hint="eastAsia" w:ascii="仿宋_GB2312" w:eastAsia="仿宋_GB2312"/>
          <w:b/>
          <w:bCs w:val="0"/>
          <w:color w:val="auto"/>
          <w:sz w:val="28"/>
          <w:szCs w:val="28"/>
          <w:highlight w:val="none"/>
          <w:lang w:val="en-US" w:eastAsia="zh-CN"/>
        </w:rPr>
        <w:t>刺激模式</w:t>
      </w:r>
    </w:p>
    <w:p w14:paraId="377C3E18">
      <w:pPr>
        <w:numPr>
          <w:ilvl w:val="1"/>
          <w:numId w:val="7"/>
        </w:numPr>
        <w:spacing w:line="360" w:lineRule="auto"/>
        <w:ind w:left="0" w:firstLine="0"/>
        <w:rPr>
          <w:rFonts w:hint="eastAsia" w:ascii="仿宋" w:eastAsia="仿宋" w:cs="仿宋"/>
          <w:b/>
          <w:bCs w:val="0"/>
          <w:color w:val="auto"/>
          <w:sz w:val="28"/>
          <w:szCs w:val="28"/>
          <w:highlight w:val="none"/>
        </w:rPr>
      </w:pPr>
      <w:r>
        <w:rPr>
          <w:rFonts w:hint="eastAsia" w:ascii="仿宋_GB2312" w:eastAsia="仿宋_GB2312"/>
          <w:b/>
          <w:bCs w:val="0"/>
          <w:sz w:val="28"/>
          <w:szCs w:val="28"/>
          <w:highlight w:val="none"/>
        </w:rPr>
        <w:t>单脉冲（sTMS）、重复脉冲（rTMS）、复合刺激（TBS）</w:t>
      </w:r>
      <w:r>
        <w:rPr>
          <w:rFonts w:hint="eastAsia" w:ascii="仿宋_GB2312" w:eastAsia="仿宋_GB2312"/>
          <w:b/>
          <w:bCs w:val="0"/>
          <w:sz w:val="28"/>
          <w:szCs w:val="28"/>
          <w:highlight w:val="none"/>
          <w:lang w:eastAsia="zh-CN"/>
        </w:rPr>
        <w:t>、</w:t>
      </w:r>
      <w:r>
        <w:rPr>
          <w:rFonts w:hint="eastAsia" w:ascii="仿宋_GB2312" w:eastAsia="仿宋_GB2312"/>
          <w:b/>
          <w:bCs w:val="0"/>
          <w:sz w:val="28"/>
          <w:szCs w:val="28"/>
          <w:highlight w:val="none"/>
          <w:lang w:val="en-US" w:eastAsia="zh-CN"/>
        </w:rPr>
        <w:t>成对脉冲输出（pTMS）</w:t>
      </w:r>
      <w:r>
        <w:rPr>
          <w:rFonts w:hint="eastAsia" w:ascii="仿宋" w:eastAsia="仿宋" w:cs="仿宋"/>
          <w:b/>
          <w:bCs w:val="0"/>
          <w:color w:val="auto"/>
          <w:sz w:val="28"/>
          <w:szCs w:val="28"/>
          <w:highlight w:val="none"/>
        </w:rPr>
        <w:t>。</w:t>
      </w:r>
    </w:p>
    <w:p w14:paraId="3C855E83">
      <w:pPr>
        <w:numPr>
          <w:ilvl w:val="1"/>
          <w:numId w:val="7"/>
        </w:numPr>
        <w:spacing w:line="360" w:lineRule="auto"/>
        <w:ind w:left="0" w:firstLine="0"/>
        <w:rPr>
          <w:rFonts w:hint="eastAsia" w:ascii="仿宋" w:eastAsia="仿宋" w:cs="仿宋"/>
          <w:b/>
          <w:bCs/>
          <w:color w:val="auto"/>
          <w:sz w:val="28"/>
          <w:szCs w:val="28"/>
          <w:highlight w:val="none"/>
        </w:rPr>
      </w:pPr>
      <w:r>
        <w:rPr>
          <w:rFonts w:hint="eastAsia" w:ascii="仿宋_GB2312" w:eastAsia="仿宋_GB2312"/>
          <w:b/>
          <w:color w:val="auto"/>
          <w:sz w:val="28"/>
          <w:szCs w:val="28"/>
          <w:highlight w:val="none"/>
          <w:lang w:val="en-US" w:eastAsia="zh-CN"/>
        </w:rPr>
        <w:t>支持双人同时治疗，双人的刺激频率、刺激强度、刺激时间和刺激间隔可完全独立调节，并且无强制关联关系，两线圈可同时输出脉冲。</w:t>
      </w:r>
    </w:p>
    <w:p w14:paraId="077038DD">
      <w:pPr>
        <w:numPr>
          <w:ilvl w:val="1"/>
          <w:numId w:val="7"/>
        </w:numPr>
        <w:spacing w:line="360" w:lineRule="auto"/>
        <w:ind w:left="0" w:firstLine="0"/>
        <w:rPr>
          <w:rFonts w:hint="eastAsia" w:ascii="仿宋" w:eastAsia="仿宋" w:cs="仿宋"/>
          <w:b/>
          <w:bCs/>
          <w:color w:val="auto"/>
          <w:sz w:val="28"/>
          <w:szCs w:val="28"/>
          <w:highlight w:val="none"/>
        </w:rPr>
      </w:pPr>
      <w:r>
        <w:rPr>
          <w:rFonts w:hint="eastAsia" w:ascii="仿宋_GB2312" w:eastAsia="仿宋_GB2312"/>
          <w:b/>
          <w:sz w:val="28"/>
          <w:szCs w:val="28"/>
          <w:highlight w:val="none"/>
          <w:lang w:val="en-US" w:eastAsia="zh-CN"/>
        </w:rPr>
        <w:t>支持双线圈成对刺激，成对脉冲最小时间间隔≤0.1ms，双线圈成对脉冲时间间隔范围-31s</w:t>
      </w:r>
      <w:r>
        <w:rPr>
          <w:rFonts w:hint="eastAsia" w:ascii="微软雅黑" w:eastAsia="微软雅黑" w:cs="微软雅黑"/>
          <w:bCs/>
          <w:sz w:val="28"/>
          <w:szCs w:val="28"/>
          <w:highlight w:val="none"/>
        </w:rPr>
        <w:t>~</w:t>
      </w:r>
      <w:r>
        <w:rPr>
          <w:rFonts w:hint="eastAsia" w:ascii="仿宋_GB2312" w:eastAsia="仿宋_GB2312"/>
          <w:b/>
          <w:sz w:val="28"/>
          <w:szCs w:val="28"/>
          <w:highlight w:val="none"/>
          <w:lang w:val="en-US" w:eastAsia="zh-CN"/>
        </w:rPr>
        <w:t>31s内可调，步长1ms。</w:t>
      </w:r>
    </w:p>
    <w:p w14:paraId="300B8458">
      <w:pPr>
        <w:numPr>
          <w:ilvl w:val="1"/>
          <w:numId w:val="7"/>
        </w:numPr>
        <w:spacing w:line="360" w:lineRule="auto"/>
        <w:ind w:left="0" w:firstLine="0"/>
        <w:rPr>
          <w:rFonts w:hint="eastAsia" w:ascii="仿宋" w:eastAsia="仿宋" w:cs="仿宋"/>
          <w:color w:val="auto"/>
          <w:sz w:val="28"/>
          <w:szCs w:val="28"/>
          <w:highlight w:val="none"/>
        </w:rPr>
      </w:pPr>
      <w:r>
        <w:rPr>
          <w:rFonts w:hint="eastAsia" w:ascii="仿宋_GB2312" w:eastAsia="仿宋_GB2312"/>
          <w:b/>
          <w:bCs w:val="0"/>
          <w:color w:val="auto"/>
          <w:sz w:val="28"/>
          <w:szCs w:val="28"/>
          <w:highlight w:val="none"/>
          <w:lang w:val="en-US" w:eastAsia="zh-CN"/>
        </w:rPr>
        <w:t>定时时间按照方案的需要设置，在预定时间（方案的总时间）到达后设备自动终止磁场输出，允差：±</w:t>
      </w:r>
      <w:r>
        <w:rPr>
          <w:rFonts w:ascii="仿宋_GB2312" w:eastAsia="仿宋_GB2312"/>
          <w:b/>
          <w:bCs w:val="0"/>
          <w:color w:val="auto"/>
          <w:sz w:val="28"/>
          <w:szCs w:val="28"/>
          <w:highlight w:val="none"/>
          <w:lang w:val="en-US" w:eastAsia="zh-CN"/>
        </w:rPr>
        <w:t>10%</w:t>
      </w:r>
      <w:r>
        <w:rPr>
          <w:rFonts w:hint="eastAsia" w:ascii="仿宋_GB2312" w:eastAsia="仿宋_GB2312"/>
          <w:b/>
          <w:bCs w:val="0"/>
          <w:color w:val="auto"/>
          <w:sz w:val="28"/>
          <w:szCs w:val="28"/>
          <w:highlight w:val="none"/>
          <w:lang w:val="en-US" w:eastAsia="zh-CN"/>
        </w:rPr>
        <w:t>。</w:t>
      </w:r>
    </w:p>
    <w:p w14:paraId="7DDE87BB">
      <w:pPr>
        <w:numPr>
          <w:ilvl w:val="1"/>
          <w:numId w:val="7"/>
        </w:numPr>
        <w:spacing w:line="360" w:lineRule="auto"/>
        <w:ind w:left="0" w:firstLine="0"/>
        <w:jc w:val="left"/>
        <w:rPr>
          <w:rFonts w:hint="eastAsia" w:ascii="仿宋_GB2312" w:eastAsia="仿宋_GB2312"/>
          <w:b/>
          <w:color w:val="000000"/>
          <w:sz w:val="28"/>
          <w:szCs w:val="28"/>
          <w:highlight w:val="none"/>
          <w:lang w:val="en-US" w:eastAsia="zh-CN"/>
        </w:rPr>
      </w:pPr>
      <w:r>
        <w:rPr>
          <w:rFonts w:hint="eastAsia" w:ascii="仿宋_GB2312" w:eastAsia="仿宋_GB2312"/>
          <w:b/>
          <w:color w:val="auto"/>
          <w:sz w:val="28"/>
          <w:szCs w:val="28"/>
          <w:highlight w:val="none"/>
          <w:lang w:val="en-US" w:eastAsia="zh-CN"/>
        </w:rPr>
        <w:t>内置多种专家方案，可供临床选择，支持</w:t>
      </w:r>
      <w:r>
        <w:rPr>
          <w:rFonts w:hint="eastAsia" w:ascii="仿宋_GB2312" w:eastAsia="仿宋_GB2312"/>
          <w:b/>
          <w:color w:val="auto"/>
          <w:sz w:val="28"/>
          <w:szCs w:val="28"/>
          <w:highlight w:val="none"/>
        </w:rPr>
        <w:t>刺激方案</w:t>
      </w:r>
      <w:r>
        <w:rPr>
          <w:rFonts w:hint="eastAsia" w:ascii="仿宋_GB2312" w:eastAsia="仿宋_GB2312"/>
          <w:b/>
          <w:color w:val="auto"/>
          <w:sz w:val="28"/>
          <w:szCs w:val="28"/>
          <w:highlight w:val="none"/>
          <w:lang w:val="en-US" w:eastAsia="zh-CN"/>
        </w:rPr>
        <w:t>自定义</w:t>
      </w:r>
      <w:r>
        <w:rPr>
          <w:rFonts w:hint="eastAsia" w:ascii="仿宋_GB2312" w:eastAsia="仿宋_GB2312"/>
          <w:b/>
          <w:color w:val="auto"/>
          <w:sz w:val="28"/>
          <w:szCs w:val="28"/>
          <w:highlight w:val="none"/>
          <w:lang w:eastAsia="zh-CN"/>
        </w:rPr>
        <w:t>，</w:t>
      </w:r>
      <w:r>
        <w:rPr>
          <w:rFonts w:hint="eastAsia" w:ascii="仿宋_GB2312" w:eastAsia="仿宋_GB2312"/>
          <w:b/>
          <w:color w:val="auto"/>
          <w:sz w:val="28"/>
          <w:szCs w:val="28"/>
          <w:highlight w:val="none"/>
        </w:rPr>
        <w:t>设置刺激时间、输出频率、刺激间歇、刺激强度、刺激数量</w:t>
      </w:r>
      <w:r>
        <w:rPr>
          <w:rFonts w:hint="eastAsia" w:ascii="仿宋_GB2312" w:eastAsia="仿宋_GB2312"/>
          <w:b/>
          <w:color w:val="auto"/>
          <w:sz w:val="28"/>
          <w:szCs w:val="28"/>
          <w:highlight w:val="none"/>
          <w:lang w:val="en-US" w:eastAsia="zh-CN"/>
        </w:rPr>
        <w:t>等</w:t>
      </w:r>
      <w:r>
        <w:rPr>
          <w:rFonts w:hint="eastAsia" w:ascii="仿宋_GB2312" w:eastAsia="仿宋_GB2312"/>
          <w:b/>
          <w:color w:val="auto"/>
          <w:sz w:val="28"/>
          <w:szCs w:val="28"/>
          <w:highlight w:val="none"/>
        </w:rPr>
        <w:t>。</w:t>
      </w:r>
    </w:p>
    <w:p w14:paraId="0768B85D">
      <w:pPr>
        <w:numPr>
          <w:ilvl w:val="1"/>
          <w:numId w:val="7"/>
        </w:numPr>
        <w:spacing w:line="360" w:lineRule="auto"/>
        <w:ind w:left="0" w:firstLine="0"/>
        <w:jc w:val="left"/>
        <w:rPr>
          <w:rFonts w:hint="eastAsia" w:ascii="仿宋_GB2312" w:eastAsia="仿宋_GB2312"/>
          <w:b/>
          <w:color w:val="000000"/>
          <w:sz w:val="28"/>
          <w:szCs w:val="28"/>
          <w:highlight w:val="none"/>
          <w:lang w:val="en-US" w:eastAsia="zh-CN"/>
        </w:rPr>
      </w:pPr>
      <w:r>
        <w:rPr>
          <w:rFonts w:hint="eastAsia" w:ascii="仿宋_GB2312" w:eastAsia="仿宋_GB2312"/>
          <w:b/>
          <w:color w:val="000000"/>
          <w:sz w:val="28"/>
          <w:szCs w:val="28"/>
          <w:highlight w:val="none"/>
          <w:lang w:eastAsia="zh-CN"/>
        </w:rPr>
        <w:t>触发输出：</w:t>
      </w:r>
      <w:r>
        <w:rPr>
          <w:rFonts w:hint="eastAsia" w:ascii="仿宋_GB2312" w:eastAsia="仿宋_GB2312"/>
          <w:b w:val="0"/>
          <w:bCs/>
          <w:color w:val="000000"/>
          <w:sz w:val="28"/>
          <w:szCs w:val="28"/>
          <w:highlight w:val="none"/>
          <w:lang w:eastAsia="zh-CN"/>
        </w:rPr>
        <w:t>触发脉冲波宽</w:t>
      </w:r>
      <w:r>
        <w:rPr>
          <w:rFonts w:hint="eastAsia" w:ascii="仿宋_GB2312" w:eastAsia="仿宋_GB2312"/>
          <w:b w:val="0"/>
          <w:bCs/>
          <w:color w:val="000000"/>
          <w:sz w:val="28"/>
          <w:szCs w:val="28"/>
          <w:highlight w:val="none"/>
          <w:lang w:val="en-US" w:eastAsia="zh-CN"/>
        </w:rPr>
        <w:t>350</w:t>
      </w:r>
      <w:r>
        <w:rPr>
          <w:rFonts w:hint="eastAsia" w:ascii="仿宋_GB2312" w:eastAsia="仿宋_GB2312"/>
          <w:b w:val="0"/>
          <w:bCs/>
          <w:color w:val="000000"/>
          <w:sz w:val="28"/>
          <w:szCs w:val="28"/>
          <w:highlight w:val="none"/>
        </w:rPr>
        <w:t>μs</w:t>
      </w:r>
      <w:r>
        <w:rPr>
          <w:rFonts w:hint="eastAsia" w:ascii="仿宋_GB2312" w:eastAsia="仿宋_GB2312"/>
          <w:b w:val="0"/>
          <w:bCs/>
          <w:color w:val="000000"/>
          <w:sz w:val="28"/>
          <w:szCs w:val="28"/>
          <w:highlight w:val="none"/>
          <w:lang w:val="en-US" w:eastAsia="zh-CN"/>
        </w:rPr>
        <w:t>±50</w:t>
      </w:r>
      <w:r>
        <w:rPr>
          <w:rFonts w:hint="eastAsia" w:ascii="仿宋_GB2312" w:eastAsia="仿宋_GB2312"/>
          <w:b w:val="0"/>
          <w:bCs/>
          <w:color w:val="000000"/>
          <w:sz w:val="28"/>
          <w:szCs w:val="28"/>
          <w:highlight w:val="none"/>
        </w:rPr>
        <w:t>μs</w:t>
      </w:r>
      <w:r>
        <w:rPr>
          <w:rFonts w:hint="eastAsia" w:ascii="仿宋_GB2312" w:eastAsia="仿宋_GB2312"/>
          <w:b w:val="0"/>
          <w:bCs/>
          <w:color w:val="000000"/>
          <w:sz w:val="28"/>
          <w:szCs w:val="28"/>
          <w:highlight w:val="none"/>
          <w:lang w:eastAsia="zh-CN"/>
        </w:rPr>
        <w:t>，幅度</w:t>
      </w:r>
      <w:r>
        <w:rPr>
          <w:rFonts w:hint="eastAsia" w:ascii="仿宋_GB2312" w:eastAsia="仿宋_GB2312"/>
          <w:b w:val="0"/>
          <w:bCs/>
          <w:color w:val="000000"/>
          <w:sz w:val="28"/>
          <w:szCs w:val="28"/>
          <w:highlight w:val="none"/>
          <w:lang w:val="en-US" w:eastAsia="zh-CN"/>
        </w:rPr>
        <w:t>5V±0.5V</w:t>
      </w:r>
      <w:r>
        <w:rPr>
          <w:rFonts w:hint="eastAsia" w:ascii="仿宋_GB2312" w:eastAsia="仿宋_GB2312"/>
          <w:b w:val="0"/>
          <w:bCs/>
          <w:color w:val="000000"/>
          <w:sz w:val="28"/>
          <w:szCs w:val="28"/>
          <w:highlight w:val="none"/>
        </w:rPr>
        <w:t>。</w:t>
      </w:r>
    </w:p>
    <w:p w14:paraId="3CB29582">
      <w:pPr>
        <w:numPr>
          <w:ilvl w:val="1"/>
          <w:numId w:val="7"/>
        </w:numPr>
        <w:spacing w:line="360" w:lineRule="auto"/>
        <w:ind w:left="0" w:firstLine="0"/>
        <w:jc w:val="left"/>
        <w:rPr>
          <w:rFonts w:hint="eastAsia" w:ascii="仿宋_GB2312" w:eastAsia="仿宋_GB2312"/>
          <w:b/>
          <w:color w:val="000000"/>
          <w:sz w:val="28"/>
          <w:szCs w:val="28"/>
          <w:highlight w:val="none"/>
          <w:lang w:val="en-US" w:eastAsia="zh-CN"/>
        </w:rPr>
      </w:pPr>
      <w:r>
        <w:rPr>
          <w:rFonts w:hint="eastAsia" w:ascii="仿宋_GB2312" w:eastAsia="仿宋_GB2312"/>
          <w:b/>
          <w:color w:val="000000"/>
          <w:sz w:val="28"/>
          <w:szCs w:val="28"/>
          <w:highlight w:val="none"/>
          <w:lang w:eastAsia="zh-CN"/>
        </w:rPr>
        <w:t>触发输入：</w:t>
      </w:r>
      <w:r>
        <w:rPr>
          <w:rFonts w:hint="eastAsia" w:ascii="仿宋_GB2312" w:eastAsia="仿宋_GB2312"/>
          <w:b w:val="0"/>
          <w:bCs/>
          <w:color w:val="000000"/>
          <w:sz w:val="28"/>
          <w:szCs w:val="28"/>
          <w:highlight w:val="none"/>
          <w:lang w:eastAsia="zh-CN"/>
        </w:rPr>
        <w:t>输入脉冲波宽≥</w:t>
      </w:r>
      <w:r>
        <w:rPr>
          <w:rFonts w:hint="eastAsia" w:ascii="仿宋_GB2312" w:eastAsia="仿宋_GB2312"/>
          <w:b w:val="0"/>
          <w:bCs/>
          <w:color w:val="000000"/>
          <w:sz w:val="28"/>
          <w:szCs w:val="28"/>
          <w:highlight w:val="none"/>
          <w:lang w:val="en-US" w:eastAsia="zh-CN"/>
        </w:rPr>
        <w:t>16</w:t>
      </w:r>
      <w:r>
        <w:rPr>
          <w:rFonts w:hint="eastAsia" w:ascii="仿宋_GB2312" w:eastAsia="仿宋_GB2312"/>
          <w:b w:val="0"/>
          <w:bCs/>
          <w:color w:val="000000"/>
          <w:sz w:val="28"/>
          <w:szCs w:val="28"/>
          <w:highlight w:val="none"/>
        </w:rPr>
        <w:t>μs</w:t>
      </w:r>
      <w:r>
        <w:rPr>
          <w:rFonts w:hint="eastAsia" w:ascii="仿宋_GB2312" w:eastAsia="仿宋_GB2312"/>
          <w:b w:val="0"/>
          <w:bCs/>
          <w:color w:val="000000"/>
          <w:sz w:val="28"/>
          <w:szCs w:val="28"/>
          <w:highlight w:val="none"/>
          <w:lang w:eastAsia="zh-CN"/>
        </w:rPr>
        <w:t>，幅度</w:t>
      </w:r>
      <w:r>
        <w:rPr>
          <w:rFonts w:hint="eastAsia" w:ascii="仿宋_GB2312" w:eastAsia="仿宋_GB2312"/>
          <w:b w:val="0"/>
          <w:bCs/>
          <w:color w:val="000000"/>
          <w:sz w:val="28"/>
          <w:szCs w:val="28"/>
          <w:highlight w:val="none"/>
          <w:lang w:val="en-US" w:eastAsia="zh-CN"/>
        </w:rPr>
        <w:t>5V±0.5V的信号，能被触发</w:t>
      </w:r>
      <w:r>
        <w:rPr>
          <w:rFonts w:hint="eastAsia" w:ascii="仿宋_GB2312" w:eastAsia="仿宋_GB2312"/>
          <w:b w:val="0"/>
          <w:bCs/>
          <w:color w:val="000000"/>
          <w:sz w:val="28"/>
          <w:szCs w:val="28"/>
          <w:highlight w:val="none"/>
        </w:rPr>
        <w:t>。</w:t>
      </w:r>
    </w:p>
    <w:p w14:paraId="096B3451">
      <w:pPr>
        <w:numPr>
          <w:ilvl w:val="1"/>
          <w:numId w:val="7"/>
        </w:numPr>
        <w:spacing w:line="360" w:lineRule="auto"/>
        <w:ind w:left="0" w:firstLine="0"/>
        <w:jc w:val="left"/>
        <w:rPr>
          <w:rFonts w:hint="eastAsia" w:ascii="仿宋_GB2312" w:eastAsia="仿宋_GB2312"/>
          <w:b/>
          <w:color w:val="000000"/>
          <w:sz w:val="28"/>
          <w:szCs w:val="28"/>
          <w:highlight w:val="none"/>
          <w:lang w:eastAsia="zh-CN"/>
        </w:rPr>
      </w:pPr>
      <w:r>
        <w:rPr>
          <w:rFonts w:hint="eastAsia" w:ascii="仿宋_GB2312" w:eastAsia="仿宋_GB2312"/>
          <w:b/>
          <w:color w:val="000000"/>
          <w:sz w:val="28"/>
          <w:szCs w:val="28"/>
          <w:highlight w:val="none"/>
        </w:rPr>
        <w:t>操作软件上调节触发输入延时时间，软件在0</w:t>
      </w:r>
      <w:r>
        <w:rPr>
          <w:rFonts w:hint="eastAsia" w:ascii="微软雅黑" w:eastAsia="微软雅黑" w:cs="微软雅黑"/>
          <w:bCs/>
          <w:color w:val="000000"/>
          <w:sz w:val="28"/>
          <w:szCs w:val="28"/>
          <w:highlight w:val="none"/>
        </w:rPr>
        <w:t>~</w:t>
      </w:r>
      <w:r>
        <w:rPr>
          <w:rFonts w:hint="eastAsia" w:ascii="仿宋_GB2312" w:eastAsia="仿宋_GB2312"/>
          <w:b/>
          <w:color w:val="000000"/>
          <w:sz w:val="28"/>
          <w:szCs w:val="28"/>
          <w:highlight w:val="none"/>
          <w:lang w:val="en-US" w:eastAsia="zh-CN"/>
        </w:rPr>
        <w:t>5</w:t>
      </w:r>
      <w:r>
        <w:rPr>
          <w:rFonts w:hint="eastAsia" w:ascii="仿宋_GB2312" w:eastAsia="仿宋_GB2312"/>
          <w:b/>
          <w:color w:val="000000"/>
          <w:sz w:val="28"/>
          <w:szCs w:val="28"/>
          <w:highlight w:val="none"/>
        </w:rPr>
        <w:t>00ms范围可调，步长0.</w:t>
      </w:r>
      <w:r>
        <w:rPr>
          <w:rFonts w:hint="eastAsia" w:ascii="仿宋_GB2312" w:eastAsia="仿宋_GB2312"/>
          <w:b/>
          <w:color w:val="000000"/>
          <w:sz w:val="28"/>
          <w:szCs w:val="28"/>
          <w:highlight w:val="none"/>
          <w:lang w:val="en-US" w:eastAsia="zh-CN"/>
        </w:rPr>
        <w:t>1</w:t>
      </w:r>
      <w:r>
        <w:rPr>
          <w:rFonts w:hint="eastAsia" w:ascii="仿宋_GB2312" w:eastAsia="仿宋_GB2312"/>
          <w:b/>
          <w:color w:val="000000"/>
          <w:sz w:val="28"/>
          <w:szCs w:val="28"/>
          <w:highlight w:val="none"/>
        </w:rPr>
        <w:t>ms</w:t>
      </w:r>
      <w:r>
        <w:rPr>
          <w:rFonts w:hint="eastAsia" w:ascii="仿宋_GB2312" w:eastAsia="仿宋_GB2312"/>
          <w:b/>
          <w:color w:val="000000"/>
          <w:sz w:val="28"/>
          <w:szCs w:val="28"/>
          <w:highlight w:val="none"/>
          <w:lang w:val="en-US" w:eastAsia="zh-CN"/>
        </w:rPr>
        <w:t>.</w:t>
      </w:r>
    </w:p>
    <w:p w14:paraId="2011D86D">
      <w:pPr>
        <w:numPr>
          <w:ilvl w:val="1"/>
          <w:numId w:val="7"/>
        </w:numPr>
        <w:spacing w:line="360" w:lineRule="auto"/>
        <w:ind w:left="0" w:firstLine="0"/>
        <w:jc w:val="left"/>
        <w:rPr>
          <w:rFonts w:ascii="仿宋_GB2312" w:eastAsia="仿宋_GB2312"/>
          <w:b/>
          <w:color w:val="auto"/>
          <w:sz w:val="28"/>
          <w:szCs w:val="28"/>
          <w:highlight w:val="none"/>
          <w:lang w:val="en-US"/>
        </w:rPr>
      </w:pPr>
      <w:r>
        <w:rPr>
          <w:rFonts w:hint="eastAsia" w:ascii="仿宋_GB2312" w:eastAsia="仿宋_GB2312"/>
          <w:b/>
          <w:color w:val="000000"/>
          <w:sz w:val="28"/>
          <w:szCs w:val="28"/>
          <w:highlight w:val="none"/>
        </w:rPr>
        <w:t>操作软件上调节触发输出延时时间，软件在-</w:t>
      </w:r>
      <w:r>
        <w:rPr>
          <w:rFonts w:hint="eastAsia" w:ascii="仿宋_GB2312" w:eastAsia="仿宋_GB2312"/>
          <w:b/>
          <w:color w:val="000000"/>
          <w:sz w:val="28"/>
          <w:szCs w:val="28"/>
          <w:highlight w:val="none"/>
          <w:lang w:val="en-US" w:eastAsia="zh-CN"/>
        </w:rPr>
        <w:t>5</w:t>
      </w:r>
      <w:r>
        <w:rPr>
          <w:rFonts w:hint="eastAsia" w:ascii="仿宋_GB2312" w:eastAsia="仿宋_GB2312"/>
          <w:b/>
          <w:color w:val="000000"/>
          <w:sz w:val="28"/>
          <w:szCs w:val="28"/>
          <w:highlight w:val="none"/>
        </w:rPr>
        <w:t>00</w:t>
      </w:r>
      <w:r>
        <w:rPr>
          <w:rFonts w:hint="eastAsia" w:ascii="微软雅黑" w:eastAsia="微软雅黑" w:cs="微软雅黑"/>
          <w:bCs/>
          <w:color w:val="000000"/>
          <w:sz w:val="28"/>
          <w:szCs w:val="28"/>
          <w:highlight w:val="none"/>
        </w:rPr>
        <w:t>~</w:t>
      </w:r>
      <w:r>
        <w:rPr>
          <w:rFonts w:hint="eastAsia" w:ascii="仿宋_GB2312" w:eastAsia="仿宋_GB2312"/>
          <w:b/>
          <w:color w:val="000000"/>
          <w:sz w:val="28"/>
          <w:szCs w:val="28"/>
          <w:highlight w:val="none"/>
          <w:lang w:val="en-US" w:eastAsia="zh-CN"/>
        </w:rPr>
        <w:t>5</w:t>
      </w:r>
      <w:r>
        <w:rPr>
          <w:rFonts w:hint="eastAsia" w:ascii="仿宋_GB2312" w:eastAsia="仿宋_GB2312"/>
          <w:b/>
          <w:color w:val="000000"/>
          <w:sz w:val="28"/>
          <w:szCs w:val="28"/>
          <w:highlight w:val="none"/>
        </w:rPr>
        <w:t>00ms范围可调，步长0.</w:t>
      </w:r>
      <w:r>
        <w:rPr>
          <w:rFonts w:hint="eastAsia" w:ascii="仿宋_GB2312" w:eastAsia="仿宋_GB2312"/>
          <w:b/>
          <w:color w:val="000000"/>
          <w:sz w:val="28"/>
          <w:szCs w:val="28"/>
          <w:highlight w:val="none"/>
          <w:lang w:val="en-US" w:eastAsia="zh-CN"/>
        </w:rPr>
        <w:t>1</w:t>
      </w:r>
      <w:r>
        <w:rPr>
          <w:rFonts w:hint="eastAsia" w:ascii="仿宋_GB2312" w:eastAsia="仿宋_GB2312"/>
          <w:b/>
          <w:color w:val="000000"/>
          <w:sz w:val="28"/>
          <w:szCs w:val="28"/>
          <w:highlight w:val="none"/>
        </w:rPr>
        <w:t>ms</w:t>
      </w:r>
      <w:r>
        <w:rPr>
          <w:rFonts w:hint="eastAsia" w:ascii="仿宋_GB2312" w:eastAsia="仿宋_GB2312"/>
          <w:b/>
          <w:color w:val="000000"/>
          <w:sz w:val="28"/>
          <w:szCs w:val="28"/>
          <w:highlight w:val="none"/>
          <w:lang w:eastAsia="zh-CN"/>
        </w:rPr>
        <w:t>。</w:t>
      </w:r>
    </w:p>
    <w:p w14:paraId="1048D65D">
      <w:pPr>
        <w:numPr>
          <w:ilvl w:val="1"/>
          <w:numId w:val="7"/>
        </w:numPr>
        <w:spacing w:line="360" w:lineRule="auto"/>
        <w:ind w:left="0" w:firstLine="0"/>
        <w:jc w:val="left"/>
        <w:rPr>
          <w:rFonts w:hint="eastAsia" w:ascii="仿宋_GB2312" w:eastAsia="仿宋_GB2312"/>
          <w:b/>
          <w:bCs w:val="0"/>
          <w:color w:val="auto"/>
          <w:sz w:val="28"/>
          <w:szCs w:val="28"/>
          <w:highlight w:val="none"/>
        </w:rPr>
      </w:pPr>
      <w:r>
        <w:rPr>
          <w:rFonts w:hint="eastAsia" w:ascii="仿宋_GB2312" w:eastAsia="仿宋_GB2312"/>
          <w:b/>
          <w:color w:val="auto"/>
          <w:sz w:val="28"/>
          <w:szCs w:val="28"/>
          <w:highlight w:val="none"/>
        </w:rPr>
        <w:t>能显示阈值强度、以百分比表示相对输出强度，显示刺激序列、刺激时间、刺激数量。</w:t>
      </w:r>
    </w:p>
    <w:p w14:paraId="46422A9D">
      <w:pPr>
        <w:numPr>
          <w:ilvl w:val="0"/>
          <w:numId w:val="7"/>
        </w:numPr>
        <w:spacing w:line="360" w:lineRule="auto"/>
        <w:ind w:left="0" w:firstLine="0"/>
        <w:rPr>
          <w:rFonts w:hint="eastAsia" w:ascii="仿宋" w:eastAsia="仿宋" w:cs="仿宋"/>
          <w:b/>
          <w:bCs/>
          <w:color w:val="auto"/>
          <w:sz w:val="28"/>
          <w:szCs w:val="28"/>
          <w:highlight w:val="none"/>
        </w:rPr>
      </w:pPr>
      <w:r>
        <w:rPr>
          <w:rFonts w:hint="eastAsia" w:ascii="仿宋" w:eastAsia="仿宋" w:cs="仿宋"/>
          <w:b/>
          <w:bCs/>
          <w:color w:val="auto"/>
          <w:sz w:val="28"/>
          <w:szCs w:val="28"/>
          <w:highlight w:val="none"/>
        </w:rPr>
        <w:t>具备触发输入输出通用接口。</w:t>
      </w:r>
    </w:p>
    <w:p w14:paraId="6F9F5976">
      <w:pPr>
        <w:numPr>
          <w:ilvl w:val="0"/>
          <w:numId w:val="7"/>
        </w:numPr>
        <w:spacing w:line="360" w:lineRule="auto"/>
        <w:ind w:left="0" w:firstLine="0"/>
        <w:rPr>
          <w:rFonts w:hint="eastAsia" w:ascii="仿宋" w:eastAsia="仿宋" w:cs="仿宋"/>
          <w:color w:val="auto"/>
          <w:sz w:val="28"/>
          <w:szCs w:val="28"/>
          <w:highlight w:val="none"/>
        </w:rPr>
      </w:pPr>
      <w:r>
        <w:rPr>
          <w:rFonts w:hint="eastAsia" w:ascii="仿宋" w:eastAsia="仿宋" w:cs="仿宋"/>
          <w:color w:val="auto"/>
          <w:sz w:val="28"/>
          <w:szCs w:val="28"/>
          <w:highlight w:val="none"/>
          <w:lang w:val="zh-CN"/>
        </w:rPr>
        <w:t>★</w:t>
      </w:r>
      <w:r>
        <w:rPr>
          <w:rFonts w:hint="eastAsia" w:ascii="仿宋" w:eastAsia="仿宋" w:cs="仿宋"/>
          <w:b/>
          <w:bCs/>
          <w:color w:val="auto"/>
          <w:sz w:val="28"/>
          <w:szCs w:val="28"/>
          <w:highlight w:val="none"/>
        </w:rPr>
        <w:t>设备生产厂家取得国际认证机构认证的ISO13485质量体系认证。</w:t>
      </w:r>
    </w:p>
    <w:p w14:paraId="4DFDC427">
      <w:pPr>
        <w:numPr>
          <w:ilvl w:val="0"/>
          <w:numId w:val="7"/>
        </w:numPr>
        <w:spacing w:line="360" w:lineRule="auto"/>
        <w:ind w:left="0" w:firstLine="0"/>
        <w:rPr>
          <w:rFonts w:eastAsia="宋体"/>
          <w:sz w:val="28"/>
          <w:szCs w:val="28"/>
          <w:highlight w:val="none"/>
          <w:lang w:val="en-US" w:eastAsia="zh-CN"/>
        </w:rPr>
      </w:pPr>
      <w:r>
        <w:rPr>
          <w:rFonts w:hint="eastAsia" w:ascii="仿宋" w:eastAsia="仿宋" w:cs="仿宋"/>
          <w:b/>
          <w:bCs/>
          <w:color w:val="auto"/>
          <w:sz w:val="28"/>
          <w:szCs w:val="28"/>
          <w:highlight w:val="none"/>
        </w:rPr>
        <w:t>开放式的技术平台，可与国内外的主流肌电诱发电位仪、脑电图等设备兼容。</w:t>
      </w:r>
    </w:p>
    <w:p w14:paraId="527D86C8">
      <w:pPr>
        <w:jc w:val="both"/>
        <w:rPr>
          <w:rFonts w:hint="eastAsia" w:ascii="仿宋_GB2312" w:eastAsia="仿宋_GB2312"/>
          <w:b/>
          <w:bCs/>
          <w:color w:val="FF0000"/>
          <w:sz w:val="28"/>
          <w:szCs w:val="28"/>
          <w:highlight w:val="none"/>
          <w:lang w:val="en-US" w:eastAsia="zh-CN"/>
        </w:rPr>
      </w:pPr>
      <w:r>
        <w:rPr>
          <w:rFonts w:hint="eastAsia" w:ascii="仿宋_GB2312" w:eastAsia="仿宋_GB2312"/>
          <w:b/>
          <w:bCs/>
          <w:color w:val="FF0000"/>
          <w:sz w:val="28"/>
          <w:szCs w:val="28"/>
          <w:highlight w:val="none"/>
        </w:rPr>
        <w:t>配置</w:t>
      </w:r>
      <w:r>
        <w:rPr>
          <w:rFonts w:hint="eastAsia" w:ascii="仿宋_GB2312" w:eastAsia="仿宋_GB2312"/>
          <w:b/>
          <w:bCs/>
          <w:color w:val="FF0000"/>
          <w:sz w:val="28"/>
          <w:szCs w:val="28"/>
          <w:highlight w:val="none"/>
          <w:lang w:eastAsia="zh-CN"/>
        </w:rPr>
        <w:t>要求</w:t>
      </w:r>
    </w:p>
    <w:p w14:paraId="11FA9C1E">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_GB2312" w:eastAsia="仿宋_GB2312"/>
          <w:bCs/>
          <w:color w:val="000000"/>
          <w:sz w:val="28"/>
          <w:szCs w:val="28"/>
          <w:highlight w:val="none"/>
          <w:lang w:val="en-US" w:eastAsia="zh-CN"/>
        </w:rPr>
      </w:pPr>
      <w:r>
        <w:rPr>
          <w:rFonts w:hint="eastAsia" w:ascii="仿宋_GB2312" w:eastAsia="仿宋_GB2312"/>
          <w:bCs/>
          <w:color w:val="000000"/>
          <w:sz w:val="28"/>
          <w:szCs w:val="28"/>
          <w:highlight w:val="none"/>
          <w:lang w:eastAsia="zh-CN"/>
        </w:rPr>
        <w:t>（</w:t>
      </w:r>
      <w:r>
        <w:rPr>
          <w:rFonts w:hint="eastAsia" w:ascii="仿宋_GB2312" w:eastAsia="仿宋_GB2312"/>
          <w:bCs/>
          <w:color w:val="000000"/>
          <w:sz w:val="28"/>
          <w:szCs w:val="28"/>
          <w:highlight w:val="none"/>
          <w:lang w:val="en-US" w:eastAsia="zh-CN"/>
        </w:rPr>
        <w:t>1</w:t>
      </w:r>
      <w:r>
        <w:rPr>
          <w:rFonts w:hint="eastAsia" w:ascii="仿宋_GB2312" w:eastAsia="仿宋_GB2312"/>
          <w:bCs/>
          <w:color w:val="000000"/>
          <w:sz w:val="28"/>
          <w:szCs w:val="28"/>
          <w:highlight w:val="none"/>
          <w:lang w:eastAsia="zh-CN"/>
        </w:rPr>
        <w:t>）</w:t>
      </w:r>
      <w:r>
        <w:rPr>
          <w:rFonts w:hint="eastAsia" w:ascii="仿宋_GB2312" w:eastAsia="仿宋_GB2312"/>
          <w:bCs/>
          <w:color w:val="000000"/>
          <w:sz w:val="28"/>
          <w:szCs w:val="28"/>
          <w:highlight w:val="none"/>
        </w:rPr>
        <w:t>磁刺激器主机</w:t>
      </w:r>
      <w:r>
        <w:rPr>
          <w:rFonts w:hint="eastAsia" w:ascii="仿宋_GB2312" w:eastAsia="仿宋_GB2312"/>
          <w:bCs/>
          <w:color w:val="000000"/>
          <w:sz w:val="28"/>
          <w:szCs w:val="28"/>
          <w:highlight w:val="none"/>
          <w:lang w:val="en-US" w:eastAsia="zh-CN"/>
        </w:rPr>
        <w:t xml:space="preserve">      1台</w:t>
      </w:r>
    </w:p>
    <w:p w14:paraId="428B75CA">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_GB2312" w:eastAsia="仿宋_GB2312"/>
          <w:color w:val="000000"/>
          <w:sz w:val="28"/>
          <w:szCs w:val="28"/>
          <w:highlight w:val="none"/>
          <w:lang w:val="en-US" w:eastAsia="zh-CN"/>
        </w:rPr>
      </w:pP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lang w:val="en-US" w:eastAsia="zh-CN"/>
        </w:rPr>
        <w:t>2</w:t>
      </w: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rPr>
        <w:t>冷却系统</w:t>
      </w:r>
      <w:r>
        <w:rPr>
          <w:rFonts w:hint="eastAsia" w:ascii="仿宋_GB2312" w:eastAsia="仿宋_GB2312"/>
          <w:color w:val="000000"/>
          <w:sz w:val="28"/>
          <w:szCs w:val="28"/>
          <w:highlight w:val="none"/>
          <w:lang w:val="en-US" w:eastAsia="zh-CN"/>
        </w:rPr>
        <w:t xml:space="preserve">          1套</w:t>
      </w:r>
    </w:p>
    <w:p w14:paraId="585FF7E6">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ascii="仿宋_GB2312" w:eastAsia="仿宋_GB2312"/>
          <w:color w:val="000000"/>
          <w:sz w:val="28"/>
          <w:szCs w:val="28"/>
          <w:highlight w:val="none"/>
          <w:lang w:val="en-US" w:eastAsia="zh-CN"/>
        </w:rPr>
      </w:pPr>
      <w:r>
        <w:rPr>
          <w:rFonts w:hint="eastAsia" w:ascii="仿宋_GB2312" w:eastAsia="仿宋_GB2312"/>
          <w:color w:val="000000"/>
          <w:sz w:val="28"/>
          <w:szCs w:val="28"/>
          <w:highlight w:val="none"/>
          <w:lang w:val="en-US" w:eastAsia="zh-CN"/>
        </w:rPr>
        <w:t>（3）操作软件          1套</w:t>
      </w:r>
    </w:p>
    <w:p w14:paraId="5F730F7A">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ascii="仿宋_GB2312" w:eastAsia="仿宋_GB2312"/>
          <w:color w:val="000000"/>
          <w:sz w:val="28"/>
          <w:szCs w:val="28"/>
          <w:highlight w:val="none"/>
          <w:lang w:val="en-US" w:eastAsia="zh-CN"/>
        </w:rPr>
      </w:pP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lang w:val="en-US" w:eastAsia="zh-CN"/>
        </w:rPr>
        <w:t>3</w:t>
      </w: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rPr>
        <w:t>刺激线圈</w:t>
      </w:r>
      <w:r>
        <w:rPr>
          <w:rFonts w:hint="eastAsia" w:ascii="仿宋_GB2312" w:eastAsia="仿宋_GB2312"/>
          <w:color w:val="000000"/>
          <w:sz w:val="28"/>
          <w:szCs w:val="28"/>
          <w:highlight w:val="none"/>
          <w:lang w:val="en-US" w:eastAsia="zh-CN"/>
        </w:rPr>
        <w:t xml:space="preserve">          </w:t>
      </w:r>
      <w:r>
        <w:rPr>
          <w:rFonts w:ascii="仿宋_GB2312" w:eastAsia="仿宋_GB2312"/>
          <w:color w:val="000000"/>
          <w:sz w:val="28"/>
          <w:szCs w:val="28"/>
          <w:highlight w:val="none"/>
          <w:lang w:val="en-US" w:eastAsia="zh-CN"/>
        </w:rPr>
        <w:t>2</w:t>
      </w:r>
      <w:r>
        <w:rPr>
          <w:rFonts w:hint="eastAsia" w:ascii="仿宋_GB2312" w:eastAsia="仿宋_GB2312"/>
          <w:color w:val="000000"/>
          <w:sz w:val="28"/>
          <w:szCs w:val="28"/>
          <w:highlight w:val="none"/>
          <w:lang w:val="en-US" w:eastAsia="zh-CN"/>
        </w:rPr>
        <w:t>副</w:t>
      </w:r>
    </w:p>
    <w:p w14:paraId="6AFCDACB">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仿宋_GB2312" w:eastAsia="仿宋_GB2312"/>
          <w:color w:val="000000"/>
          <w:sz w:val="28"/>
          <w:szCs w:val="28"/>
          <w:highlight w:val="none"/>
          <w:lang w:val="en-US" w:eastAsia="zh-CN"/>
        </w:rPr>
      </w:pP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lang w:val="en-US" w:eastAsia="zh-CN"/>
        </w:rPr>
        <w:t>4</w:t>
      </w: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rPr>
        <w:t>支架</w:t>
      </w:r>
      <w:r>
        <w:rPr>
          <w:rFonts w:hint="eastAsia" w:ascii="仿宋_GB2312" w:eastAsia="仿宋_GB2312"/>
          <w:color w:val="000000"/>
          <w:sz w:val="28"/>
          <w:szCs w:val="28"/>
          <w:highlight w:val="none"/>
          <w:lang w:val="en-US" w:eastAsia="zh-CN"/>
        </w:rPr>
        <w:t xml:space="preserve">              </w:t>
      </w:r>
      <w:r>
        <w:rPr>
          <w:rFonts w:ascii="仿宋_GB2312" w:eastAsia="仿宋_GB2312"/>
          <w:color w:val="000000"/>
          <w:sz w:val="28"/>
          <w:szCs w:val="28"/>
          <w:highlight w:val="none"/>
          <w:lang w:val="en-US" w:eastAsia="zh-CN"/>
        </w:rPr>
        <w:t>2</w:t>
      </w:r>
      <w:r>
        <w:rPr>
          <w:rFonts w:hint="eastAsia" w:ascii="仿宋_GB2312" w:eastAsia="仿宋_GB2312"/>
          <w:color w:val="000000"/>
          <w:sz w:val="28"/>
          <w:szCs w:val="28"/>
          <w:highlight w:val="none"/>
          <w:lang w:val="en-US" w:eastAsia="zh-CN"/>
        </w:rPr>
        <w:t>个</w:t>
      </w:r>
    </w:p>
    <w:p w14:paraId="2F3D66D6">
      <w:pPr>
        <w:keepNext w:val="0"/>
        <w:keepLines w:val="0"/>
        <w:pageBreakBefore w:val="0"/>
        <w:widowControl w:val="0"/>
        <w:tabs>
          <w:tab w:val="left" w:pos="3076"/>
        </w:tabs>
        <w:kinsoku/>
        <w:wordWrap/>
        <w:overflowPunct/>
        <w:topLinePunct w:val="0"/>
        <w:autoSpaceDE/>
        <w:autoSpaceDN/>
        <w:bidi w:val="0"/>
        <w:adjustRightInd/>
        <w:snapToGrid/>
        <w:spacing w:line="380" w:lineRule="exact"/>
        <w:jc w:val="left"/>
        <w:textAlignment w:val="auto"/>
        <w:rPr>
          <w:rFonts w:ascii="仿宋_GB2312" w:eastAsia="仿宋_GB2312"/>
          <w:color w:val="000000"/>
          <w:sz w:val="28"/>
          <w:szCs w:val="28"/>
          <w:highlight w:val="none"/>
          <w:lang w:val="en-US" w:eastAsia="zh-CN"/>
        </w:rPr>
      </w:pP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lang w:val="en-US" w:eastAsia="zh-CN"/>
        </w:rPr>
        <w:t>5</w:t>
      </w:r>
      <w:r>
        <w:rPr>
          <w:rFonts w:hint="eastAsia" w:ascii="仿宋_GB2312" w:eastAsia="仿宋_GB2312"/>
          <w:color w:val="000000"/>
          <w:sz w:val="28"/>
          <w:szCs w:val="28"/>
          <w:highlight w:val="none"/>
          <w:lang w:eastAsia="zh-CN"/>
        </w:rPr>
        <w:t>）</w:t>
      </w:r>
      <w:r>
        <w:rPr>
          <w:rFonts w:hint="eastAsia" w:ascii="仿宋_GB2312" w:eastAsia="仿宋_GB2312"/>
          <w:color w:val="000000"/>
          <w:sz w:val="28"/>
          <w:szCs w:val="28"/>
          <w:highlight w:val="none"/>
        </w:rPr>
        <w:t>刺激定位帽</w:t>
      </w:r>
      <w:r>
        <w:rPr>
          <w:rFonts w:hint="eastAsia" w:ascii="仿宋_GB2312" w:eastAsia="仿宋_GB2312"/>
          <w:color w:val="000000"/>
          <w:sz w:val="28"/>
          <w:szCs w:val="28"/>
          <w:highlight w:val="none"/>
          <w:lang w:val="en-US" w:eastAsia="zh-CN"/>
        </w:rPr>
        <w:t xml:space="preserve">        10套</w:t>
      </w:r>
    </w:p>
    <w:p w14:paraId="7E89870E">
      <w:pPr>
        <w:keepNext w:val="0"/>
        <w:keepLines w:val="0"/>
        <w:pageBreakBefore w:val="0"/>
        <w:widowControl w:val="0"/>
        <w:tabs>
          <w:tab w:val="left" w:pos="3076"/>
        </w:tabs>
        <w:kinsoku/>
        <w:wordWrap/>
        <w:overflowPunct/>
        <w:topLinePunct w:val="0"/>
        <w:autoSpaceDE/>
        <w:autoSpaceDN/>
        <w:bidi w:val="0"/>
        <w:adjustRightInd/>
        <w:snapToGrid/>
        <w:spacing w:line="380" w:lineRule="exact"/>
        <w:jc w:val="left"/>
        <w:textAlignment w:val="auto"/>
        <w:rPr>
          <w:rFonts w:ascii="仿宋_GB2312" w:eastAsia="仿宋_GB2312"/>
          <w:color w:val="000000"/>
          <w:sz w:val="28"/>
          <w:szCs w:val="28"/>
          <w:highlight w:val="none"/>
          <w:lang w:val="en-US" w:eastAsia="zh-CN"/>
        </w:rPr>
      </w:pPr>
      <w:r>
        <w:rPr>
          <w:rFonts w:hint="eastAsia" w:ascii="仿宋_GB2312" w:eastAsia="仿宋_GB2312"/>
          <w:color w:val="000000"/>
          <w:sz w:val="28"/>
          <w:szCs w:val="28"/>
          <w:highlight w:val="none"/>
          <w:lang w:val="en-US" w:eastAsia="zh-CN"/>
        </w:rPr>
        <w:t>（6）MEP模块           1个</w:t>
      </w:r>
    </w:p>
    <w:p w14:paraId="36AB908F">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仿宋_GB2312" w:eastAsia="仿宋_GB2312"/>
          <w:bCs/>
          <w:color w:val="000000"/>
          <w:sz w:val="24"/>
          <w:szCs w:val="24"/>
          <w:highlight w:val="none"/>
          <w:lang w:val="en-US" w:eastAsia="zh-CN"/>
        </w:rPr>
      </w:pPr>
      <w:r>
        <w:rPr>
          <w:rFonts w:hint="eastAsia" w:ascii="仿宋_GB2312" w:eastAsia="仿宋_GB2312"/>
          <w:color w:val="000000"/>
          <w:sz w:val="24"/>
          <w:szCs w:val="24"/>
          <w:highlight w:val="none"/>
          <w:lang w:val="en-US" w:eastAsia="zh-CN"/>
        </w:rPr>
        <w:t xml:space="preserve"> </w:t>
      </w:r>
      <w:r>
        <w:rPr>
          <w:rFonts w:hint="eastAsia" w:ascii="仿宋_GB2312" w:eastAsia="仿宋_GB2312"/>
          <w:bCs/>
          <w:color w:val="000000"/>
          <w:sz w:val="24"/>
          <w:szCs w:val="24"/>
          <w:highlight w:val="none"/>
          <w:lang w:val="en-US" w:eastAsia="zh-CN"/>
        </w:rPr>
        <w:t>（7）木质治疗床           2张</w:t>
      </w:r>
    </w:p>
    <w:p w14:paraId="79BB81AE">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仿宋_GB2312" w:eastAsia="仿宋_GB2312"/>
          <w:bCs/>
          <w:color w:val="000000"/>
          <w:sz w:val="24"/>
          <w:szCs w:val="24"/>
          <w:highlight w:val="none"/>
          <w:lang w:val="en-US" w:eastAsia="zh-CN"/>
        </w:rPr>
      </w:pPr>
      <w:r>
        <w:rPr>
          <w:rFonts w:hint="eastAsia" w:ascii="仿宋_GB2312" w:eastAsia="仿宋_GB2312"/>
          <w:bCs/>
          <w:color w:val="000000"/>
          <w:sz w:val="24"/>
          <w:szCs w:val="24"/>
          <w:highlight w:val="none"/>
          <w:lang w:val="en-US" w:eastAsia="zh-CN"/>
        </w:rPr>
        <w:t xml:space="preserve"> （8）1.5P空调             1台</w:t>
      </w:r>
    </w:p>
    <w:p w14:paraId="46397F4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jc w:val="left"/>
        <w:textAlignment w:val="auto"/>
        <w:rPr>
          <w:rFonts w:hint="eastAsia" w:ascii="宋体" w:hAnsi="宋体" w:eastAsia="宋体" w:cs="宋体"/>
          <w:b w:val="0"/>
          <w:bCs/>
          <w:sz w:val="24"/>
          <w:szCs w:val="24"/>
          <w:lang w:val="en-US" w:eastAsia="zh-CN"/>
        </w:rPr>
      </w:pPr>
    </w:p>
    <w:p w14:paraId="33665DC8">
      <w:pPr>
        <w:pStyle w:val="42"/>
        <w:ind w:firstLine="480" w:firstLineChars="200"/>
        <w:rPr>
          <w:rFonts w:hint="eastAsia" w:eastAsia="宋体"/>
          <w:color w:val="FF0000"/>
          <w:lang w:val="en-US" w:eastAsia="zh-CN"/>
        </w:rPr>
      </w:pPr>
      <w:bookmarkStart w:id="247" w:name="_Toc24075"/>
    </w:p>
    <w:p w14:paraId="2E14C376">
      <w:pPr>
        <w:pStyle w:val="42"/>
        <w:ind w:firstLine="480" w:firstLineChars="200"/>
        <w:rPr>
          <w:rFonts w:hint="eastAsia" w:eastAsia="宋体"/>
          <w:color w:val="FF0000"/>
          <w:lang w:val="en-US" w:eastAsia="zh-CN"/>
        </w:rPr>
        <w:sectPr>
          <w:headerReference r:id="rId15" w:type="default"/>
          <w:footerReference r:id="rId16" w:type="default"/>
          <w:type w:val="nextColumn"/>
          <w:pgSz w:w="11906" w:h="16838"/>
          <w:pgMar w:top="1440" w:right="1304" w:bottom="1440" w:left="1304" w:header="851" w:footer="992" w:gutter="0"/>
          <w:pgNumType w:fmt="decimal"/>
          <w:cols w:space="720" w:num="1"/>
          <w:rtlGutter w:val="0"/>
          <w:docGrid w:type="lines" w:linePitch="314" w:charSpace="0"/>
        </w:sectPr>
      </w:pPr>
    </w:p>
    <w:p w14:paraId="4F17BBDB">
      <w:pPr>
        <w:pStyle w:val="2"/>
        <w:jc w:val="center"/>
        <w:rPr>
          <w:rFonts w:ascii="宋体" w:hAnsi="宋体" w:cs="宋体"/>
          <w:i w:val="0"/>
          <w:iCs w:val="0"/>
          <w:color w:val="auto"/>
          <w:highlight w:val="none"/>
        </w:rPr>
      </w:pPr>
      <w:bookmarkStart w:id="248" w:name="_Toc15840"/>
      <w:r>
        <w:rPr>
          <w:rFonts w:hint="eastAsia" w:ascii="宋体" w:hAnsi="宋体" w:cs="宋体"/>
          <w:i w:val="0"/>
          <w:iCs w:val="0"/>
          <w:color w:val="auto"/>
          <w:highlight w:val="none"/>
        </w:rPr>
        <w:t>第六章 投标文件格式</w:t>
      </w:r>
      <w:bookmarkEnd w:id="247"/>
      <w:bookmarkEnd w:id="248"/>
    </w:p>
    <w:p w14:paraId="1C088EBB">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076DAE67">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3C7439D4">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6D293C70">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7D65C216">
      <w:pPr>
        <w:jc w:val="cente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u w:val="single"/>
        </w:rPr>
        <w:t xml:space="preserve">              </w:t>
      </w:r>
      <w:r>
        <w:rPr>
          <w:rFonts w:hint="eastAsia" w:ascii="宋体" w:hAnsi="宋体" w:cs="宋体"/>
          <w:b/>
          <w:bCs/>
          <w:i w:val="0"/>
          <w:iCs w:val="0"/>
          <w:color w:val="auto"/>
          <w:sz w:val="44"/>
          <w:szCs w:val="44"/>
          <w:highlight w:val="none"/>
        </w:rPr>
        <w:t>(项目名称)</w:t>
      </w:r>
    </w:p>
    <w:p w14:paraId="2688F5FE">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70C07C7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441DEDA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2B99F481">
      <w:pPr>
        <w:rPr>
          <w:rFonts w:ascii="宋体" w:hAnsi="宋体" w:cs="宋体"/>
          <w:b/>
          <w:bCs/>
          <w:i w:val="0"/>
          <w:iCs w:val="0"/>
          <w:color w:val="auto"/>
          <w:sz w:val="44"/>
          <w:szCs w:val="44"/>
          <w:highlight w:val="none"/>
        </w:rPr>
      </w:pPr>
    </w:p>
    <w:p w14:paraId="3ACF7F94">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37393E8">
      <w:pPr>
        <w:jc w:val="center"/>
        <w:rPr>
          <w:rFonts w:ascii="宋体" w:hAnsi="宋体" w:cs="宋体"/>
          <w:b/>
          <w:bCs/>
          <w:i w:val="0"/>
          <w:iCs w:val="0"/>
          <w:color w:val="auto"/>
          <w:sz w:val="72"/>
          <w:szCs w:val="72"/>
          <w:highlight w:val="none"/>
        </w:rPr>
      </w:pPr>
      <w:r>
        <w:rPr>
          <w:rFonts w:hint="eastAsia" w:ascii="宋体" w:hAnsi="宋体" w:cs="宋体"/>
          <w:b/>
          <w:bCs/>
          <w:i w:val="0"/>
          <w:iCs w:val="0"/>
          <w:color w:val="auto"/>
          <w:sz w:val="72"/>
          <w:szCs w:val="72"/>
          <w:highlight w:val="none"/>
        </w:rPr>
        <w:t>投 标 文 件</w:t>
      </w:r>
    </w:p>
    <w:p w14:paraId="60730025">
      <w:pPr>
        <w:rPr>
          <w:rFonts w:ascii="宋体" w:hAnsi="宋体" w:cs="宋体"/>
          <w:b/>
          <w:bCs/>
          <w:i w:val="0"/>
          <w:iCs w:val="0"/>
          <w:color w:val="auto"/>
          <w:sz w:val="44"/>
          <w:szCs w:val="44"/>
          <w:highlight w:val="none"/>
        </w:rPr>
      </w:pPr>
    </w:p>
    <w:p w14:paraId="12F7E9B3">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6643B882">
      <w:pPr>
        <w:pStyle w:val="12"/>
        <w:rPr>
          <w:rFonts w:ascii="宋体" w:hAnsi="宋体" w:cs="宋体"/>
          <w:i w:val="0"/>
          <w:iCs w:val="0"/>
          <w:color w:val="auto"/>
          <w:highlight w:val="none"/>
        </w:rPr>
      </w:pPr>
    </w:p>
    <w:p w14:paraId="1464A08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05642FA">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52E29898">
      <w:pPr>
        <w:rPr>
          <w:rFonts w:ascii="宋体" w:hAnsi="宋体" w:cs="宋体"/>
          <w:b/>
          <w:bCs/>
          <w:i w:val="0"/>
          <w:iCs w:val="0"/>
          <w:color w:val="auto"/>
          <w:sz w:val="44"/>
          <w:szCs w:val="44"/>
          <w:highlight w:val="none"/>
        </w:rPr>
      </w:pPr>
      <w:r>
        <w:rPr>
          <w:rFonts w:hint="eastAsia" w:ascii="宋体" w:hAnsi="宋体" w:cs="宋体"/>
          <w:b/>
          <w:bCs/>
          <w:i w:val="0"/>
          <w:iCs w:val="0"/>
          <w:color w:val="auto"/>
          <w:sz w:val="44"/>
          <w:szCs w:val="44"/>
          <w:highlight w:val="none"/>
        </w:rPr>
        <w:t xml:space="preserve"> </w:t>
      </w:r>
    </w:p>
    <w:p w14:paraId="6BAC2C06">
      <w:pPr>
        <w:ind w:firstLine="1205" w:firstLineChars="5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投标人：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(加盖单位公章)</w:t>
      </w:r>
    </w:p>
    <w:p w14:paraId="41851442">
      <w:pP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47D647D8">
      <w:pPr>
        <w:ind w:firstLine="1205" w:firstLineChars="5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法定代表人(单位负责人)或其委托代理人：</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(签字或盖章)</w:t>
      </w:r>
    </w:p>
    <w:p w14:paraId="74927B8C">
      <w:pP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02254D10">
      <w:pPr>
        <w:ind w:firstLine="2891" w:firstLineChars="1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日期： </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年</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月</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日</w:t>
      </w:r>
    </w:p>
    <w:p w14:paraId="38D8897E">
      <w:pPr>
        <w:rPr>
          <w:rFonts w:ascii="宋体" w:hAnsi="宋体" w:cs="宋体"/>
          <w:b/>
          <w:bCs/>
          <w:i w:val="0"/>
          <w:iCs w:val="0"/>
          <w:color w:val="auto"/>
          <w:highlight w:val="none"/>
        </w:rPr>
      </w:pPr>
      <w:r>
        <w:rPr>
          <w:rFonts w:hint="eastAsia" w:ascii="宋体" w:hAnsi="宋体" w:cs="宋体"/>
          <w:b/>
          <w:bCs/>
          <w:i w:val="0"/>
          <w:iCs w:val="0"/>
          <w:color w:val="auto"/>
          <w:highlight w:val="none"/>
        </w:rPr>
        <w:br w:type="page"/>
      </w:r>
    </w:p>
    <w:p w14:paraId="057C4587">
      <w:pPr>
        <w:rPr>
          <w:rFonts w:ascii="宋体" w:hAnsi="宋体" w:cs="宋体"/>
          <w:i w:val="0"/>
          <w:iCs w:val="0"/>
          <w:color w:val="auto"/>
          <w:highlight w:val="none"/>
        </w:rPr>
      </w:pPr>
      <w:bookmarkStart w:id="249" w:name="_Toc7687"/>
    </w:p>
    <w:p w14:paraId="28859317">
      <w:pPr>
        <w:bidi w:val="0"/>
        <w:jc w:val="center"/>
        <w:rPr>
          <w:b/>
          <w:bCs/>
          <w:sz w:val="30"/>
          <w:szCs w:val="30"/>
        </w:rPr>
      </w:pPr>
      <w:bookmarkStart w:id="250" w:name="_Toc26678"/>
      <w:bookmarkStart w:id="251" w:name="_Toc6914"/>
      <w:r>
        <w:rPr>
          <w:rFonts w:hint="eastAsia"/>
          <w:b/>
          <w:bCs/>
          <w:sz w:val="30"/>
          <w:szCs w:val="30"/>
        </w:rPr>
        <w:t>资格审查部分</w:t>
      </w:r>
      <w:bookmarkEnd w:id="249"/>
      <w:bookmarkEnd w:id="250"/>
      <w:bookmarkEnd w:id="251"/>
    </w:p>
    <w:p w14:paraId="6BF64099">
      <w:pPr>
        <w:pStyle w:val="13"/>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满足下列情形的投标文件才能通过资格审查，未通过资格审查的投标人将不进入符合性审查：</w:t>
      </w:r>
    </w:p>
    <w:p w14:paraId="0BC65807">
      <w:pPr>
        <w:pStyle w:val="12"/>
        <w:ind w:firstLine="480" w:firstLineChars="200"/>
        <w:rPr>
          <w:rFonts w:ascii="宋体" w:hAnsi="宋体" w:cs="宋体"/>
          <w:i w:val="0"/>
          <w:iCs w:val="0"/>
          <w:color w:val="auto"/>
          <w:sz w:val="24"/>
          <w:highlight w:val="none"/>
        </w:rPr>
      </w:pPr>
      <w:bookmarkStart w:id="252" w:name="_Toc3397769"/>
      <w:r>
        <w:rPr>
          <w:rFonts w:hint="eastAsia" w:ascii="宋体" w:hAnsi="宋体" w:cs="宋体"/>
          <w:i w:val="0"/>
          <w:iCs w:val="0"/>
          <w:color w:val="auto"/>
          <w:sz w:val="24"/>
          <w:highlight w:val="none"/>
          <w:lang w:val="en-US" w:eastAsia="zh-CN"/>
        </w:rPr>
        <w:t>1.投标人应具有独立承担民事责任的能力，且在中华人民共和国境内依法注册的法人或其他组织，提供合法有效的营业执照或事业单位法人证书或其他行政机关颁发可以合法开展业务的法定证明文件</w:t>
      </w:r>
      <w:r>
        <w:rPr>
          <w:rFonts w:hint="eastAsia" w:ascii="宋体" w:hAnsi="宋体" w:cs="宋体"/>
          <w:i w:val="0"/>
          <w:iCs w:val="0"/>
          <w:color w:val="auto"/>
          <w:sz w:val="24"/>
          <w:highlight w:val="none"/>
        </w:rPr>
        <w:t>。</w:t>
      </w:r>
    </w:p>
    <w:p w14:paraId="38F28069">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2.</w:t>
      </w:r>
      <w:r>
        <w:rPr>
          <w:rFonts w:hint="eastAsia" w:ascii="宋体" w:hAnsi="宋体" w:cs="宋体"/>
          <w:i w:val="0"/>
          <w:iCs w:val="0"/>
          <w:color w:val="auto"/>
          <w:sz w:val="24"/>
          <w:highlight w:val="none"/>
        </w:rPr>
        <w:t>投标人应具有良好的商业信誉和健全的财务会计制度，提供</w:t>
      </w:r>
      <w:r>
        <w:rPr>
          <w:rFonts w:hint="eastAsia" w:ascii="宋体" w:hAnsi="宋体" w:cs="宋体"/>
          <w:i w:val="0"/>
          <w:iCs w:val="0"/>
          <w:color w:val="auto"/>
          <w:sz w:val="24"/>
          <w:highlight w:val="none"/>
          <w:lang w:val="en-US" w:eastAsia="zh-CN"/>
        </w:rPr>
        <w:t>2024年度或2025年</w:t>
      </w:r>
      <w:r>
        <w:rPr>
          <w:rFonts w:hint="eastAsia" w:ascii="宋体" w:hAnsi="宋体" w:cs="宋体"/>
          <w:i w:val="0"/>
          <w:iCs w:val="0"/>
          <w:color w:val="auto"/>
          <w:sz w:val="24"/>
          <w:highlight w:val="none"/>
        </w:rPr>
        <w:t>度经第三方审计的审计报告及财务报表（包括资产负债表、损益表或利润表、现金流量表，复印件或扫描件），新成立的，提供自行编制的财务报表（包括资产负债表、损益表或利润表、现金流量表）。</w:t>
      </w:r>
    </w:p>
    <w:p w14:paraId="039B5ABD">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3.</w:t>
      </w:r>
      <w:r>
        <w:rPr>
          <w:rFonts w:hint="eastAsia" w:ascii="宋体" w:hAnsi="宋体" w:cs="宋体"/>
          <w:i w:val="0"/>
          <w:iCs w:val="0"/>
          <w:color w:val="auto"/>
          <w:sz w:val="24"/>
          <w:highlight w:val="none"/>
        </w:rPr>
        <w:t>具有依法缴纳税收和社会保障资金的良好记录，提供</w:t>
      </w:r>
      <w:r>
        <w:rPr>
          <w:rFonts w:hint="eastAsia" w:ascii="宋体" w:hAnsi="宋体" w:cs="宋体"/>
          <w:i w:val="0"/>
          <w:iCs w:val="0"/>
          <w:color w:val="auto"/>
          <w:sz w:val="24"/>
          <w:highlight w:val="none"/>
          <w:lang w:eastAsia="zh-CN"/>
        </w:rPr>
        <w:t>202</w:t>
      </w: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lang w:eastAsia="zh-CN"/>
        </w:rPr>
        <w:t>年10月至今</w:t>
      </w:r>
      <w:r>
        <w:rPr>
          <w:rFonts w:hint="eastAsia" w:ascii="宋体" w:hAnsi="宋体" w:cs="宋体"/>
          <w:i w:val="0"/>
          <w:iCs w:val="0"/>
          <w:color w:val="auto"/>
          <w:sz w:val="24"/>
          <w:highlight w:val="none"/>
        </w:rPr>
        <w:t>任意3个月依法缴纳税收和缴纳社会保障资金的证明材料(复印件或扫描件加盖公章，成立未满3个月的提供成立以来的税收和社会保障资金缴纳凭证或相关情况说明；依法免税或不需要缴纳社会保障资金的投标人，应提供相应文件证明其依法免税或不需要缴纳社会保障资金)。</w:t>
      </w:r>
    </w:p>
    <w:p w14:paraId="5C6B3EA2">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4.</w:t>
      </w:r>
      <w:r>
        <w:rPr>
          <w:rFonts w:hint="eastAsia" w:ascii="宋体" w:hAnsi="宋体" w:cs="宋体"/>
          <w:i w:val="0"/>
          <w:iCs w:val="0"/>
          <w:color w:val="auto"/>
          <w:sz w:val="24"/>
          <w:highlight w:val="none"/>
        </w:rPr>
        <w:t>信誉要求：</w:t>
      </w:r>
    </w:p>
    <w:p w14:paraId="22290AE4">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（1）投标人未被列入“信用中国”网站(www.creditchina.gov.cn) “严重失信主体名单”“拖欠农民工工资失信联合惩戒对象名单”、 “重大税收违法失信主体”、“政府采购严重违法失信行为记录名单”。</w:t>
      </w:r>
    </w:p>
    <w:p w14:paraId="124E2311">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rPr>
        <w:t>（2）投标人未被列入中国执行信息公开网（http://zxgk.court.gov.cn/）“失信被执行人名单”。（</w:t>
      </w:r>
      <w:r>
        <w:rPr>
          <w:rFonts w:ascii="宋体" w:hAnsi="宋体" w:cs="宋体"/>
          <w:i w:val="0"/>
          <w:iCs w:val="0"/>
          <w:color w:val="auto"/>
          <w:sz w:val="24"/>
          <w:highlight w:val="none"/>
        </w:rPr>
        <w:t>注：上述两项由</w:t>
      </w:r>
      <w:r>
        <w:rPr>
          <w:rFonts w:hint="eastAsia" w:ascii="宋体" w:hAnsi="宋体" w:cs="宋体"/>
          <w:i w:val="0"/>
          <w:iCs w:val="0"/>
          <w:color w:val="auto"/>
          <w:sz w:val="24"/>
          <w:highlight w:val="none"/>
          <w:lang w:eastAsia="zh-CN"/>
        </w:rPr>
        <w:t>采购人</w:t>
      </w:r>
      <w:r>
        <w:rPr>
          <w:rFonts w:ascii="宋体" w:hAnsi="宋体" w:cs="宋体"/>
          <w:i w:val="0"/>
          <w:iCs w:val="0"/>
          <w:color w:val="auto"/>
          <w:sz w:val="24"/>
          <w:highlight w:val="none"/>
        </w:rPr>
        <w:t>在开标当天登录相关网站查询并截图，交予评标委员会评审</w:t>
      </w:r>
      <w:r>
        <w:rPr>
          <w:rFonts w:hint="eastAsia" w:ascii="宋体" w:hAnsi="宋体" w:cs="宋体"/>
          <w:i w:val="0"/>
          <w:iCs w:val="0"/>
          <w:color w:val="auto"/>
          <w:sz w:val="24"/>
          <w:highlight w:val="none"/>
        </w:rPr>
        <w:t>。）；</w:t>
      </w:r>
    </w:p>
    <w:p w14:paraId="6606C4B9">
      <w:pPr>
        <w:pStyle w:val="12"/>
        <w:widowControl w:val="0"/>
        <w:ind w:firstLine="480" w:firstLineChars="200"/>
        <w:jc w:val="both"/>
        <w:rPr>
          <w:rFonts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5.</w:t>
      </w:r>
      <w:r>
        <w:rPr>
          <w:rFonts w:hint="eastAsia" w:ascii="宋体" w:hAnsi="宋体" w:cs="宋体"/>
          <w:i w:val="0"/>
          <w:iCs w:val="0"/>
          <w:color w:val="auto"/>
          <w:sz w:val="24"/>
          <w:highlight w:val="none"/>
        </w:rPr>
        <w:t>本次采购不接受联合体投标，且不得以任何形式转包、分包。</w:t>
      </w:r>
    </w:p>
    <w:p w14:paraId="0C64D591">
      <w:pPr>
        <w:pStyle w:val="12"/>
        <w:widowControl w:val="0"/>
        <w:ind w:firstLine="480" w:firstLineChars="200"/>
        <w:jc w:val="both"/>
        <w:rPr>
          <w:rFonts w:hint="eastAsia" w:ascii="宋体" w:hAnsi="宋体" w:cs="宋体"/>
          <w:i w:val="0"/>
          <w:iCs w:val="0"/>
          <w:color w:val="auto"/>
          <w:sz w:val="24"/>
          <w:highlight w:val="none"/>
        </w:rPr>
      </w:pPr>
      <w:r>
        <w:rPr>
          <w:rFonts w:hint="eastAsia" w:ascii="宋体" w:hAnsi="宋体" w:cs="宋体"/>
          <w:i w:val="0"/>
          <w:iCs w:val="0"/>
          <w:color w:val="auto"/>
          <w:sz w:val="24"/>
          <w:highlight w:val="none"/>
          <w:lang w:val="en-US" w:eastAsia="zh-CN"/>
        </w:rPr>
        <w:t>6.</w:t>
      </w:r>
      <w:r>
        <w:rPr>
          <w:rFonts w:hint="eastAsia" w:ascii="宋体" w:hAnsi="宋体" w:cs="宋体"/>
          <w:i w:val="0"/>
          <w:iCs w:val="0"/>
          <w:color w:val="auto"/>
          <w:sz w:val="24"/>
          <w:highlight w:val="none"/>
        </w:rPr>
        <w:t>单位负责人为同一人或者存在控股、管理关系的不同投标人，不得参加同一合同项下的投标活动。</w:t>
      </w:r>
    </w:p>
    <w:p w14:paraId="565DA1B6">
      <w:pPr>
        <w:pStyle w:val="12"/>
        <w:widowControl w:val="0"/>
        <w:ind w:firstLine="480" w:firstLineChars="200"/>
        <w:jc w:val="both"/>
        <w:rPr>
          <w:rFonts w:ascii="宋体" w:hAnsi="宋体" w:cs="宋体"/>
          <w:i w:val="0"/>
          <w:iCs w:val="0"/>
          <w:color w:val="auto"/>
          <w:highlight w:val="none"/>
        </w:rPr>
      </w:pPr>
      <w:r>
        <w:rPr>
          <w:rFonts w:hint="eastAsia" w:ascii="宋体" w:hAnsi="宋体" w:eastAsia="宋体" w:cs="宋体"/>
          <w:i w:val="0"/>
          <w:iCs w:val="0"/>
          <w:color w:val="auto"/>
          <w:sz w:val="24"/>
          <w:highlight w:val="none"/>
          <w:lang w:val="en-US" w:eastAsia="zh-CN"/>
        </w:rPr>
        <w:t>7.投标人如果是代理商或经销商，须提供医疗器械经营许可/备案证，所投产品的医疗器械</w:t>
      </w:r>
      <w:r>
        <w:rPr>
          <w:rFonts w:hint="eastAsia" w:ascii="宋体" w:hAnsi="宋体" w:cs="宋体"/>
          <w:i w:val="0"/>
          <w:iCs w:val="0"/>
          <w:color w:val="auto"/>
          <w:sz w:val="24"/>
          <w:highlight w:val="none"/>
          <w:lang w:val="en-US" w:eastAsia="zh-CN"/>
        </w:rPr>
        <w:t>生产许可证/备案证（</w:t>
      </w:r>
      <w:r>
        <w:rPr>
          <w:rFonts w:hint="eastAsia" w:ascii="宋体" w:hAnsi="宋体" w:eastAsia="宋体" w:cs="宋体"/>
          <w:i w:val="0"/>
          <w:iCs w:val="0"/>
          <w:color w:val="auto"/>
          <w:sz w:val="24"/>
          <w:highlight w:val="none"/>
          <w:lang w:val="en-US" w:eastAsia="zh-CN"/>
        </w:rPr>
        <w:t>制造商工商注册地在中华人民共和国境外的，不做此要求</w:t>
      </w:r>
      <w:r>
        <w:rPr>
          <w:rFonts w:hint="eastAsia" w:ascii="宋体" w:hAnsi="宋体" w:cs="宋体"/>
          <w:i w:val="0"/>
          <w:iCs w:val="0"/>
          <w:color w:val="auto"/>
          <w:sz w:val="24"/>
          <w:highlight w:val="none"/>
          <w:lang w:val="en-US" w:eastAsia="zh-CN"/>
        </w:rPr>
        <w:t>），</w:t>
      </w:r>
      <w:r>
        <w:rPr>
          <w:rFonts w:hint="eastAsia" w:ascii="宋体" w:hAnsi="宋体" w:eastAsia="宋体" w:cs="宋体"/>
          <w:i w:val="0"/>
          <w:iCs w:val="0"/>
          <w:color w:val="auto"/>
          <w:sz w:val="24"/>
          <w:highlight w:val="none"/>
          <w:lang w:val="en-US" w:eastAsia="zh-CN"/>
        </w:rPr>
        <w:t>所投产品的医疗器械注册证及附件；投标人如果是制造商，须提供医疗器械生产许可/备案证(制造商工商注册地在中华人民共和国境外的，不做此要求)、所投产品的医疗器械注册证及附件。医疗器械生产或经营许可证生产或经营范围须覆盖所投第二、三类医疗器械(加盖公章的扫描件。根据中华人民共和国国务院令第 739 号《医疗器械监督管理条例》和国家药品监督管理局《医疗器械分类目录》的规定，在《医疗器械分类目录》内的产品必须按照《医疗器械监督管理条例》的要求提供，其他不在《医疗器械分类目录》内的不作强行要求)</w:t>
      </w:r>
      <w:r>
        <w:rPr>
          <w:rFonts w:hint="eastAsia" w:ascii="宋体" w:hAnsi="宋体" w:eastAsia="宋体" w:cs="宋体"/>
          <w:i w:val="0"/>
          <w:iCs w:val="0"/>
          <w:color w:val="auto"/>
          <w:sz w:val="24"/>
          <w:highlight w:val="none"/>
        </w:rPr>
        <w:t>。</w:t>
      </w:r>
    </w:p>
    <w:p w14:paraId="619BA960">
      <w:pPr>
        <w:rPr>
          <w:rFonts w:ascii="宋体" w:hAnsi="宋体" w:cs="宋体"/>
          <w:i w:val="0"/>
          <w:iCs w:val="0"/>
          <w:color w:val="auto"/>
          <w:highlight w:val="none"/>
        </w:rPr>
      </w:pPr>
      <w:r>
        <w:rPr>
          <w:rFonts w:ascii="宋体" w:hAnsi="宋体" w:cs="宋体"/>
          <w:i w:val="0"/>
          <w:iCs w:val="0"/>
          <w:color w:val="auto"/>
          <w:highlight w:val="none"/>
        </w:rPr>
        <w:br w:type="page"/>
      </w:r>
    </w:p>
    <w:p w14:paraId="7C744A8E">
      <w:pPr>
        <w:pStyle w:val="14"/>
        <w:rPr>
          <w:i w:val="0"/>
          <w:iCs w:val="0"/>
          <w:color w:val="auto"/>
          <w:highlight w:val="none"/>
        </w:rPr>
      </w:pPr>
    </w:p>
    <w:bookmarkEnd w:id="252"/>
    <w:p w14:paraId="7DF27F2A">
      <w:pPr>
        <w:bidi w:val="0"/>
        <w:jc w:val="center"/>
        <w:rPr>
          <w:rFonts w:ascii="宋体" w:hAnsi="宋体" w:cs="宋体"/>
          <w:b/>
          <w:bCs/>
          <w:i w:val="0"/>
          <w:iCs w:val="0"/>
          <w:color w:val="auto"/>
          <w:sz w:val="44"/>
          <w:szCs w:val="44"/>
          <w:highlight w:val="none"/>
        </w:rPr>
      </w:pPr>
      <w:bookmarkStart w:id="253" w:name="_Toc21906"/>
      <w:bookmarkStart w:id="254" w:name="_Toc25996"/>
      <w:r>
        <w:rPr>
          <w:rFonts w:hint="eastAsia"/>
          <w:b/>
          <w:bCs/>
          <w:sz w:val="30"/>
          <w:szCs w:val="30"/>
        </w:rPr>
        <w:t>商务技术部分</w:t>
      </w:r>
      <w:bookmarkEnd w:id="253"/>
      <w:bookmarkEnd w:id="254"/>
    </w:p>
    <w:p w14:paraId="442C4BB6">
      <w:pPr>
        <w:rPr>
          <w:rFonts w:hint="eastAsia"/>
          <w:b/>
          <w:bCs/>
          <w:sz w:val="30"/>
          <w:szCs w:val="30"/>
          <w:lang w:val="en-US" w:eastAsia="zh-CN"/>
        </w:rPr>
      </w:pPr>
      <w:bookmarkStart w:id="255" w:name="_Toc10984"/>
      <w:bookmarkEnd w:id="255"/>
      <w:bookmarkStart w:id="256" w:name="_Toc19562"/>
      <w:bookmarkStart w:id="257" w:name="_Toc1245"/>
      <w:bookmarkStart w:id="258" w:name="_Toc7932"/>
    </w:p>
    <w:p w14:paraId="2FD029E8">
      <w:pPr>
        <w:rPr>
          <w:rFonts w:hint="eastAsia"/>
          <w:b/>
          <w:bCs/>
          <w:sz w:val="30"/>
          <w:szCs w:val="30"/>
          <w:lang w:val="en-US" w:eastAsia="zh-CN"/>
        </w:rPr>
      </w:pPr>
    </w:p>
    <w:p w14:paraId="23C3B9DB">
      <w:pPr>
        <w:rPr>
          <w:rFonts w:hint="eastAsia"/>
          <w:b/>
          <w:bCs/>
          <w:sz w:val="30"/>
          <w:szCs w:val="30"/>
        </w:rPr>
      </w:pPr>
      <w:r>
        <w:rPr>
          <w:rFonts w:hint="eastAsia"/>
          <w:b/>
          <w:bCs/>
          <w:sz w:val="30"/>
          <w:szCs w:val="30"/>
          <w:lang w:val="en-US" w:eastAsia="zh-CN"/>
        </w:rPr>
        <w:t>格式1：</w:t>
      </w:r>
      <w:bookmarkEnd w:id="256"/>
      <w:bookmarkEnd w:id="257"/>
      <w:bookmarkEnd w:id="258"/>
    </w:p>
    <w:p w14:paraId="558FE68B">
      <w:pPr>
        <w:bidi w:val="0"/>
        <w:jc w:val="center"/>
        <w:rPr>
          <w:rFonts w:hint="eastAsia"/>
          <w:b/>
          <w:bCs/>
          <w:sz w:val="28"/>
          <w:szCs w:val="28"/>
          <w:lang w:val="en-US" w:eastAsia="zh-CN"/>
        </w:rPr>
      </w:pPr>
      <w:bookmarkStart w:id="259" w:name="_Toc28459"/>
      <w:bookmarkEnd w:id="259"/>
      <w:bookmarkStart w:id="260" w:name="_Toc15981"/>
      <w:bookmarkEnd w:id="260"/>
      <w:bookmarkStart w:id="261" w:name="_Toc2786"/>
      <w:bookmarkEnd w:id="261"/>
      <w:bookmarkStart w:id="262" w:name="_Toc7169"/>
      <w:bookmarkStart w:id="263" w:name="_Toc6906"/>
      <w:bookmarkStart w:id="264" w:name="_Toc5263"/>
      <w:r>
        <w:rPr>
          <w:rFonts w:hint="eastAsia"/>
          <w:b/>
          <w:bCs/>
          <w:sz w:val="28"/>
          <w:szCs w:val="28"/>
          <w:lang w:val="en-US" w:eastAsia="zh-CN"/>
        </w:rPr>
        <w:t>开标一览表</w:t>
      </w:r>
      <w:bookmarkEnd w:id="262"/>
      <w:bookmarkEnd w:id="263"/>
      <w:bookmarkEnd w:id="264"/>
    </w:p>
    <w:p w14:paraId="4DB12B39">
      <w:pPr>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6FEF05B2">
      <w:pPr>
        <w:spacing w:line="480" w:lineRule="exact"/>
        <w:ind w:left="1200" w:hanging="1200" w:hangingChars="50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项目名称：</w:t>
      </w:r>
      <w:r>
        <w:rPr>
          <w:rFonts w:hint="eastAsia" w:ascii="宋体" w:hAnsi="宋体" w:cs="宋体"/>
          <w:i w:val="0"/>
          <w:iCs w:val="0"/>
          <w:color w:val="auto"/>
          <w:sz w:val="24"/>
          <w:szCs w:val="24"/>
          <w:highlight w:val="none"/>
          <w:u w:val="single"/>
        </w:rPr>
        <w:t xml:space="preserve">                                                </w:t>
      </w:r>
    </w:p>
    <w:tbl>
      <w:tblPr>
        <w:tblStyle w:val="34"/>
        <w:tblW w:w="4996" w:type="pct"/>
        <w:jc w:val="center"/>
        <w:tblLayout w:type="autofit"/>
        <w:tblCellMar>
          <w:top w:w="0" w:type="dxa"/>
          <w:left w:w="108" w:type="dxa"/>
          <w:bottom w:w="0" w:type="dxa"/>
          <w:right w:w="108" w:type="dxa"/>
        </w:tblCellMar>
      </w:tblPr>
      <w:tblGrid>
        <w:gridCol w:w="1572"/>
        <w:gridCol w:w="1736"/>
        <w:gridCol w:w="1737"/>
        <w:gridCol w:w="1853"/>
        <w:gridCol w:w="2608"/>
      </w:tblGrid>
      <w:tr w14:paraId="6812F495">
        <w:tblPrEx>
          <w:tblCellMar>
            <w:top w:w="0" w:type="dxa"/>
            <w:left w:w="108" w:type="dxa"/>
            <w:bottom w:w="0" w:type="dxa"/>
            <w:right w:w="108" w:type="dxa"/>
          </w:tblCellMar>
        </w:tblPrEx>
        <w:trPr>
          <w:cantSplit/>
          <w:trHeight w:val="431" w:hRule="atLeast"/>
          <w:jc w:val="center"/>
        </w:trPr>
        <w:tc>
          <w:tcPr>
            <w:tcW w:w="827" w:type="pct"/>
            <w:tcBorders>
              <w:top w:val="single" w:color="auto" w:sz="4" w:space="0"/>
              <w:left w:val="single" w:color="auto" w:sz="4" w:space="0"/>
              <w:bottom w:val="single" w:color="auto" w:sz="4" w:space="0"/>
              <w:right w:val="single" w:color="auto" w:sz="4" w:space="0"/>
            </w:tcBorders>
            <w:vAlign w:val="center"/>
          </w:tcPr>
          <w:p w14:paraId="56F87169">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投标人</w:t>
            </w:r>
          </w:p>
        </w:tc>
        <w:tc>
          <w:tcPr>
            <w:tcW w:w="913" w:type="pct"/>
            <w:tcBorders>
              <w:top w:val="single" w:color="auto" w:sz="4" w:space="0"/>
              <w:left w:val="nil"/>
              <w:right w:val="single" w:color="auto" w:sz="4" w:space="0"/>
            </w:tcBorders>
            <w:vAlign w:val="center"/>
          </w:tcPr>
          <w:p w14:paraId="1258CC4B">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投标报价（含税）</w:t>
            </w:r>
          </w:p>
        </w:tc>
        <w:tc>
          <w:tcPr>
            <w:tcW w:w="913" w:type="pct"/>
            <w:tcBorders>
              <w:top w:val="single" w:color="auto" w:sz="4" w:space="0"/>
              <w:left w:val="nil"/>
              <w:right w:val="single" w:color="auto" w:sz="4" w:space="0"/>
            </w:tcBorders>
            <w:vAlign w:val="center"/>
          </w:tcPr>
          <w:p w14:paraId="28706880">
            <w:pPr>
              <w:adjustRightInd w:val="0"/>
              <w:snapToGrid w:val="0"/>
              <w:spacing w:line="44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rPr>
              <w:t>税率</w:t>
            </w:r>
          </w:p>
        </w:tc>
        <w:tc>
          <w:tcPr>
            <w:tcW w:w="974" w:type="pct"/>
            <w:tcBorders>
              <w:top w:val="single" w:color="auto" w:sz="4" w:space="0"/>
              <w:left w:val="nil"/>
              <w:bottom w:val="single" w:color="auto" w:sz="4" w:space="0"/>
              <w:right w:val="single" w:color="auto" w:sz="4" w:space="0"/>
            </w:tcBorders>
            <w:vAlign w:val="center"/>
          </w:tcPr>
          <w:p w14:paraId="775AC793">
            <w:pPr>
              <w:adjustRightInd w:val="0"/>
              <w:snapToGrid w:val="0"/>
              <w:spacing w:line="440" w:lineRule="exact"/>
              <w:jc w:val="center"/>
              <w:rPr>
                <w:rFonts w:hint="eastAsia" w:ascii="宋体" w:hAnsi="宋体" w:eastAsia="宋体" w:cs="宋体"/>
                <w:b/>
                <w:bCs/>
                <w:i w:val="0"/>
                <w:iCs w:val="0"/>
                <w:color w:val="auto"/>
                <w:kern w:val="2"/>
                <w:sz w:val="24"/>
                <w:szCs w:val="24"/>
                <w:highlight w:val="none"/>
                <w:lang w:eastAsia="zh-CN"/>
              </w:rPr>
            </w:pPr>
            <w:r>
              <w:rPr>
                <w:rFonts w:hint="eastAsia" w:ascii="宋体" w:hAnsi="宋体" w:cs="宋体"/>
                <w:b/>
                <w:bCs/>
                <w:i w:val="0"/>
                <w:iCs w:val="0"/>
                <w:color w:val="auto"/>
                <w:kern w:val="2"/>
                <w:sz w:val="24"/>
                <w:szCs w:val="24"/>
                <w:highlight w:val="none"/>
                <w:lang w:eastAsia="zh-CN"/>
              </w:rPr>
              <w:t>交货地点</w:t>
            </w:r>
          </w:p>
        </w:tc>
        <w:tc>
          <w:tcPr>
            <w:tcW w:w="1371" w:type="pct"/>
            <w:tcBorders>
              <w:top w:val="single" w:color="auto" w:sz="4" w:space="0"/>
              <w:left w:val="nil"/>
              <w:bottom w:val="single" w:color="auto" w:sz="4" w:space="0"/>
              <w:right w:val="single" w:color="auto" w:sz="4" w:space="0"/>
            </w:tcBorders>
            <w:vAlign w:val="center"/>
          </w:tcPr>
          <w:p w14:paraId="15DC6842">
            <w:pPr>
              <w:adjustRightInd w:val="0"/>
              <w:snapToGrid w:val="0"/>
              <w:spacing w:line="440" w:lineRule="exact"/>
              <w:jc w:val="center"/>
              <w:rPr>
                <w:rFonts w:hint="eastAsia" w:ascii="宋体" w:hAnsi="宋体" w:eastAsia="宋体" w:cs="宋体"/>
                <w:b/>
                <w:bCs/>
                <w:i w:val="0"/>
                <w:iCs w:val="0"/>
                <w:color w:val="auto"/>
                <w:kern w:val="2"/>
                <w:sz w:val="24"/>
                <w:szCs w:val="24"/>
                <w:highlight w:val="none"/>
                <w:lang w:val="en-US" w:eastAsia="zh-CN"/>
              </w:rPr>
            </w:pPr>
            <w:bookmarkStart w:id="322" w:name="_GoBack"/>
            <w:r>
              <w:rPr>
                <w:rFonts w:hint="eastAsia" w:ascii="宋体" w:hAnsi="宋体" w:cs="宋体"/>
                <w:b/>
                <w:bCs/>
                <w:i w:val="0"/>
                <w:iCs w:val="0"/>
                <w:color w:val="auto"/>
                <w:kern w:val="2"/>
                <w:sz w:val="24"/>
                <w:szCs w:val="24"/>
                <w:highlight w:val="none"/>
                <w:lang w:val="en-US" w:eastAsia="zh-CN"/>
              </w:rPr>
              <w:t>质保期</w:t>
            </w:r>
            <w:bookmarkEnd w:id="322"/>
          </w:p>
        </w:tc>
      </w:tr>
      <w:tr w14:paraId="56ABDF3C">
        <w:tblPrEx>
          <w:tblCellMar>
            <w:top w:w="0" w:type="dxa"/>
            <w:left w:w="108" w:type="dxa"/>
            <w:bottom w:w="0" w:type="dxa"/>
            <w:right w:w="108" w:type="dxa"/>
          </w:tblCellMar>
        </w:tblPrEx>
        <w:trPr>
          <w:cantSplit/>
          <w:trHeight w:val="1212" w:hRule="atLeast"/>
          <w:jc w:val="center"/>
        </w:trPr>
        <w:tc>
          <w:tcPr>
            <w:tcW w:w="827" w:type="pct"/>
            <w:tcBorders>
              <w:top w:val="single" w:color="auto" w:sz="4" w:space="0"/>
              <w:left w:val="single" w:color="auto" w:sz="4" w:space="0"/>
              <w:bottom w:val="single" w:color="auto" w:sz="4" w:space="0"/>
              <w:right w:val="single" w:color="auto" w:sz="4" w:space="0"/>
            </w:tcBorders>
            <w:vAlign w:val="center"/>
          </w:tcPr>
          <w:p w14:paraId="71CF497E">
            <w:pPr>
              <w:spacing w:line="460" w:lineRule="exact"/>
              <w:jc w:val="center"/>
              <w:rPr>
                <w:rFonts w:ascii="宋体" w:hAnsi="宋体" w:cs="宋体"/>
                <w:b/>
                <w:bCs/>
                <w:i w:val="0"/>
                <w:iCs w:val="0"/>
                <w:color w:val="auto"/>
                <w:kern w:val="2"/>
                <w:sz w:val="24"/>
                <w:szCs w:val="24"/>
                <w:highlight w:val="none"/>
              </w:rPr>
            </w:pPr>
          </w:p>
        </w:tc>
        <w:tc>
          <w:tcPr>
            <w:tcW w:w="913" w:type="pct"/>
            <w:tcBorders>
              <w:top w:val="single" w:color="auto" w:sz="4" w:space="0"/>
              <w:left w:val="nil"/>
              <w:bottom w:val="single" w:color="auto" w:sz="4" w:space="0"/>
              <w:right w:val="single" w:color="auto" w:sz="4" w:space="0"/>
            </w:tcBorders>
            <w:vAlign w:val="center"/>
          </w:tcPr>
          <w:p w14:paraId="4F7D76D7">
            <w:pPr>
              <w:spacing w:line="460" w:lineRule="exact"/>
              <w:jc w:val="center"/>
              <w:rPr>
                <w:rFonts w:ascii="宋体" w:hAnsi="宋体" w:cs="宋体"/>
                <w:b/>
                <w:bCs/>
                <w:i w:val="0"/>
                <w:iCs w:val="0"/>
                <w:color w:val="auto"/>
                <w:kern w:val="2"/>
                <w:sz w:val="24"/>
                <w:szCs w:val="24"/>
                <w:highlight w:val="none"/>
                <w:u w:val="single"/>
              </w:rPr>
            </w:pPr>
            <w:r>
              <w:rPr>
                <w:rFonts w:hint="eastAsia" w:ascii="宋体" w:hAnsi="宋体" w:cs="宋体"/>
                <w:b/>
                <w:bCs/>
                <w:i w:val="0"/>
                <w:iCs w:val="0"/>
                <w:color w:val="auto"/>
                <w:kern w:val="2"/>
                <w:sz w:val="24"/>
                <w:szCs w:val="24"/>
                <w:highlight w:val="none"/>
                <w:u w:val="single"/>
              </w:rPr>
              <w:t xml:space="preserve">      </w:t>
            </w:r>
            <w:r>
              <w:rPr>
                <w:rFonts w:hint="eastAsia" w:ascii="宋体" w:hAnsi="宋体" w:cs="宋体"/>
                <w:b/>
                <w:bCs/>
                <w:i w:val="0"/>
                <w:iCs w:val="0"/>
                <w:color w:val="auto"/>
                <w:kern w:val="2"/>
                <w:sz w:val="24"/>
                <w:szCs w:val="24"/>
                <w:highlight w:val="none"/>
              </w:rPr>
              <w:t>元</w:t>
            </w:r>
          </w:p>
        </w:tc>
        <w:tc>
          <w:tcPr>
            <w:tcW w:w="913" w:type="pct"/>
            <w:tcBorders>
              <w:top w:val="single" w:color="auto" w:sz="4" w:space="0"/>
              <w:left w:val="nil"/>
              <w:bottom w:val="single" w:color="auto" w:sz="4" w:space="0"/>
              <w:right w:val="single" w:color="auto" w:sz="4" w:space="0"/>
            </w:tcBorders>
            <w:vAlign w:val="center"/>
          </w:tcPr>
          <w:p w14:paraId="465910DE">
            <w:pPr>
              <w:spacing w:line="460" w:lineRule="exact"/>
              <w:jc w:val="center"/>
              <w:rPr>
                <w:rFonts w:ascii="宋体" w:hAnsi="宋体" w:cs="宋体"/>
                <w:b/>
                <w:bCs/>
                <w:i w:val="0"/>
                <w:iCs w:val="0"/>
                <w:color w:val="auto"/>
                <w:kern w:val="2"/>
                <w:sz w:val="24"/>
                <w:szCs w:val="24"/>
                <w:highlight w:val="none"/>
              </w:rPr>
            </w:pPr>
            <w:r>
              <w:rPr>
                <w:rFonts w:hint="eastAsia" w:ascii="宋体" w:hAnsi="宋体" w:cs="宋体"/>
                <w:b/>
                <w:bCs/>
                <w:i w:val="0"/>
                <w:iCs w:val="0"/>
                <w:color w:val="auto"/>
                <w:kern w:val="2"/>
                <w:sz w:val="24"/>
                <w:szCs w:val="24"/>
                <w:highlight w:val="none"/>
                <w:u w:val="single"/>
              </w:rPr>
              <w:t xml:space="preserve">   %</w:t>
            </w:r>
          </w:p>
        </w:tc>
        <w:tc>
          <w:tcPr>
            <w:tcW w:w="974" w:type="pct"/>
            <w:tcBorders>
              <w:top w:val="single" w:color="auto" w:sz="4" w:space="0"/>
              <w:left w:val="nil"/>
              <w:bottom w:val="single" w:color="auto" w:sz="4" w:space="0"/>
              <w:right w:val="single" w:color="auto" w:sz="4" w:space="0"/>
            </w:tcBorders>
            <w:vAlign w:val="center"/>
          </w:tcPr>
          <w:p w14:paraId="049256AF">
            <w:pPr>
              <w:spacing w:line="460" w:lineRule="exact"/>
              <w:jc w:val="center"/>
              <w:rPr>
                <w:rFonts w:ascii="宋体" w:hAnsi="宋体" w:cs="宋体"/>
                <w:b/>
                <w:bCs/>
                <w:i w:val="0"/>
                <w:iCs w:val="0"/>
                <w:color w:val="auto"/>
                <w:kern w:val="2"/>
                <w:sz w:val="24"/>
                <w:szCs w:val="24"/>
                <w:highlight w:val="none"/>
              </w:rPr>
            </w:pPr>
          </w:p>
        </w:tc>
        <w:tc>
          <w:tcPr>
            <w:tcW w:w="1371" w:type="pct"/>
            <w:tcBorders>
              <w:top w:val="single" w:color="auto" w:sz="4" w:space="0"/>
              <w:left w:val="nil"/>
              <w:bottom w:val="single" w:color="auto" w:sz="4" w:space="0"/>
              <w:right w:val="single" w:color="auto" w:sz="4" w:space="0"/>
            </w:tcBorders>
            <w:vAlign w:val="center"/>
          </w:tcPr>
          <w:p w14:paraId="79DA9BB0">
            <w:pPr>
              <w:spacing w:line="460" w:lineRule="exact"/>
              <w:jc w:val="center"/>
              <w:rPr>
                <w:rFonts w:ascii="宋体" w:hAnsi="宋体" w:cs="宋体"/>
                <w:b/>
                <w:bCs/>
                <w:i w:val="0"/>
                <w:iCs w:val="0"/>
                <w:color w:val="auto"/>
                <w:kern w:val="2"/>
                <w:sz w:val="24"/>
                <w:szCs w:val="24"/>
                <w:highlight w:val="none"/>
              </w:rPr>
            </w:pPr>
          </w:p>
        </w:tc>
      </w:tr>
    </w:tbl>
    <w:p w14:paraId="4A174A61">
      <w:pPr>
        <w:spacing w:line="420" w:lineRule="exact"/>
        <w:ind w:right="-309" w:rightChars="-147"/>
        <w:rPr>
          <w:rFonts w:ascii="宋体" w:hAnsi="宋体" w:cs="宋体"/>
          <w:i w:val="0"/>
          <w:iCs w:val="0"/>
          <w:color w:val="auto"/>
          <w:sz w:val="28"/>
          <w:szCs w:val="28"/>
          <w:highlight w:val="none"/>
        </w:rPr>
      </w:pPr>
      <w:r>
        <w:rPr>
          <w:rFonts w:hint="eastAsia" w:ascii="宋体" w:hAnsi="宋体" w:cs="宋体"/>
          <w:i w:val="0"/>
          <w:iCs w:val="0"/>
          <w:color w:val="auto"/>
          <w:sz w:val="28"/>
          <w:szCs w:val="28"/>
          <w:highlight w:val="none"/>
        </w:rPr>
        <w:t xml:space="preserve"> </w:t>
      </w:r>
    </w:p>
    <w:p w14:paraId="2B13525A">
      <w:pPr>
        <w:spacing w:line="420" w:lineRule="exact"/>
        <w:ind w:right="-309" w:rightChars="-147"/>
        <w:rPr>
          <w:rFonts w:ascii="宋体" w:hAnsi="宋体" w:cs="宋体"/>
          <w:b/>
          <w:i w:val="0"/>
          <w:iCs w:val="0"/>
          <w:color w:val="auto"/>
          <w:highlight w:val="none"/>
        </w:rPr>
      </w:pPr>
      <w:r>
        <w:rPr>
          <w:rFonts w:hint="eastAsia" w:ascii="宋体" w:hAnsi="宋体" w:cs="宋体"/>
          <w:b/>
          <w:i w:val="0"/>
          <w:iCs w:val="0"/>
          <w:color w:val="auto"/>
          <w:highlight w:val="none"/>
        </w:rPr>
        <w:t>注：(1)此表中的投标报价即为最终报价，不允许另有折扣说明。</w:t>
      </w:r>
    </w:p>
    <w:p w14:paraId="0AC0CD27">
      <w:pPr>
        <w:spacing w:line="420" w:lineRule="exact"/>
        <w:ind w:right="-309" w:rightChars="-147"/>
        <w:rPr>
          <w:rFonts w:ascii="宋体" w:hAnsi="宋体" w:cs="宋体"/>
          <w:b/>
          <w:i w:val="0"/>
          <w:iCs w:val="0"/>
          <w:color w:val="auto"/>
          <w:highlight w:val="none"/>
        </w:rPr>
      </w:pPr>
      <w:r>
        <w:rPr>
          <w:rFonts w:hint="eastAsia" w:ascii="宋体" w:hAnsi="宋体" w:cs="宋体"/>
          <w:b/>
          <w:i w:val="0"/>
          <w:iCs w:val="0"/>
          <w:color w:val="auto"/>
          <w:highlight w:val="none"/>
        </w:rPr>
        <w:t>（2）此表请放在投标文件封面后第一页，以方便唱标。</w:t>
      </w:r>
    </w:p>
    <w:p w14:paraId="2123AA54">
      <w:pPr>
        <w:spacing w:line="420" w:lineRule="exact"/>
        <w:ind w:right="-309" w:rightChars="-147"/>
        <w:rPr>
          <w:rFonts w:ascii="宋体" w:hAnsi="宋体" w:cs="宋体"/>
          <w:b/>
          <w:i w:val="0"/>
          <w:iCs w:val="0"/>
          <w:color w:val="auto"/>
          <w:highlight w:val="none"/>
        </w:rPr>
      </w:pPr>
      <w:r>
        <w:rPr>
          <w:rFonts w:hint="eastAsia" w:ascii="宋体" w:hAnsi="宋体" w:cs="宋体"/>
          <w:b/>
          <w:i w:val="0"/>
          <w:iCs w:val="0"/>
          <w:color w:val="auto"/>
          <w:highlight w:val="none"/>
        </w:rPr>
        <w:t>（3）投标报价为综合报价，报价应为人民币含税价（元），包括服务成本价格（含利润）、保险、税收、培训、售后服务、中标服务费等所有一切费用。</w:t>
      </w:r>
    </w:p>
    <w:p w14:paraId="106798C4">
      <w:pPr>
        <w:spacing w:line="600" w:lineRule="atLeast"/>
        <w:rPr>
          <w:rFonts w:ascii="宋体" w:hAnsi="宋体" w:cs="宋体"/>
          <w:i w:val="0"/>
          <w:iCs w:val="0"/>
          <w:color w:val="auto"/>
          <w:sz w:val="28"/>
          <w:szCs w:val="28"/>
          <w:highlight w:val="none"/>
        </w:rPr>
      </w:pPr>
      <w:r>
        <w:rPr>
          <w:rFonts w:hint="eastAsia" w:ascii="宋体" w:hAnsi="宋体" w:cs="宋体"/>
          <w:i w:val="0"/>
          <w:iCs w:val="0"/>
          <w:color w:val="auto"/>
          <w:sz w:val="28"/>
          <w:szCs w:val="28"/>
          <w:highlight w:val="none"/>
        </w:rPr>
        <w:t xml:space="preserve"> </w:t>
      </w:r>
    </w:p>
    <w:p w14:paraId="70B9B68F">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8"/>
          <w:szCs w:val="28"/>
          <w:highlight w:val="none"/>
        </w:rPr>
        <w:t xml:space="preserve">   </w:t>
      </w: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60345263">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2F88864B">
      <w:pPr>
        <w:spacing w:line="480" w:lineRule="auto"/>
        <w:ind w:right="480"/>
        <w:rPr>
          <w:rFonts w:hint="eastAsia"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8B1F702">
      <w:pP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br w:type="page"/>
      </w:r>
    </w:p>
    <w:p w14:paraId="6953B3CE">
      <w:pPr>
        <w:bidi w:val="0"/>
        <w:jc w:val="left"/>
        <w:rPr>
          <w:rFonts w:hint="eastAsia" w:ascii="宋体" w:hAnsi="宋体" w:eastAsia="宋体" w:cs="宋体"/>
          <w:b/>
          <w:bCs/>
          <w:sz w:val="28"/>
          <w:szCs w:val="28"/>
          <w:lang w:val="en-US" w:eastAsia="zh-CN"/>
        </w:rPr>
      </w:pPr>
      <w:r>
        <w:rPr>
          <w:rFonts w:hint="eastAsia"/>
          <w:b/>
          <w:bCs/>
          <w:sz w:val="30"/>
          <w:szCs w:val="30"/>
          <w:lang w:val="en-US" w:eastAsia="zh-CN"/>
        </w:rPr>
        <w:t>格式2：</w:t>
      </w:r>
    </w:p>
    <w:p w14:paraId="751981B4">
      <w:pPr>
        <w:bidi w:val="0"/>
        <w:jc w:val="center"/>
        <w:rPr>
          <w:rFonts w:hint="eastAsia"/>
          <w:b/>
          <w:bCs/>
          <w:sz w:val="28"/>
          <w:szCs w:val="28"/>
          <w:lang w:val="en-US" w:eastAsia="zh-CN"/>
        </w:rPr>
      </w:pPr>
      <w:bookmarkStart w:id="265" w:name="_Toc17435"/>
      <w:bookmarkEnd w:id="265"/>
      <w:bookmarkStart w:id="266" w:name="_Toc27099"/>
      <w:bookmarkStart w:id="267" w:name="_Toc12259"/>
      <w:bookmarkStart w:id="268" w:name="_Toc30371"/>
      <w:bookmarkStart w:id="269" w:name="_Toc2521"/>
      <w:r>
        <w:rPr>
          <w:rFonts w:hint="eastAsia"/>
          <w:b/>
          <w:bCs/>
          <w:sz w:val="28"/>
          <w:szCs w:val="28"/>
          <w:lang w:val="en-US" w:eastAsia="zh-CN"/>
        </w:rPr>
        <w:t>投标函</w:t>
      </w:r>
      <w:bookmarkEnd w:id="266"/>
      <w:bookmarkEnd w:id="267"/>
      <w:bookmarkEnd w:id="268"/>
      <w:bookmarkEnd w:id="269"/>
    </w:p>
    <w:p w14:paraId="041B3BA0">
      <w:pPr>
        <w:spacing w:line="360" w:lineRule="auto"/>
        <w:rPr>
          <w:rFonts w:ascii="宋体" w:hAnsi="宋体" w:cs="宋体"/>
          <w:i w:val="0"/>
          <w:iCs w:val="0"/>
          <w:color w:val="auto"/>
          <w:sz w:val="24"/>
          <w:szCs w:val="24"/>
          <w:highlight w:val="none"/>
          <w:u w:val="single"/>
        </w:rPr>
      </w:pPr>
    </w:p>
    <w:p w14:paraId="77206F32">
      <w:pPr>
        <w:spacing w:line="36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(招标人名称)：</w:t>
      </w:r>
    </w:p>
    <w:p w14:paraId="723A5882">
      <w:pPr>
        <w:autoSpaceDE w:val="0"/>
        <w:autoSpaceDN w:val="0"/>
        <w:adjustRightInd w:val="0"/>
        <w:snapToGrid w:val="0"/>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我方已仔细研究了</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(项目名称)</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的全部内容，</w:t>
      </w:r>
      <w:r>
        <w:rPr>
          <w:rFonts w:hint="eastAsia" w:ascii="宋体" w:hAnsi="宋体" w:cs="宋体"/>
          <w:i w:val="0"/>
          <w:iCs w:val="0"/>
          <w:color w:val="auto"/>
          <w:sz w:val="24"/>
          <w:highlight w:val="none"/>
        </w:rPr>
        <w:t>且对</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无任何异议，并愿意以“开标一览表”所填写的投标</w:t>
      </w:r>
      <w:r>
        <w:rPr>
          <w:rFonts w:hint="eastAsia" w:ascii="宋体" w:hAnsi="宋体" w:cs="宋体"/>
          <w:i w:val="0"/>
          <w:iCs w:val="0"/>
          <w:color w:val="auto"/>
          <w:sz w:val="24"/>
          <w:highlight w:val="none"/>
          <w:lang w:val="en-US" w:eastAsia="zh-CN"/>
        </w:rPr>
        <w:t>报</w:t>
      </w:r>
      <w:r>
        <w:rPr>
          <w:rFonts w:hint="eastAsia" w:ascii="宋体" w:hAnsi="宋体" w:cs="宋体"/>
          <w:i w:val="0"/>
          <w:iCs w:val="0"/>
          <w:color w:val="auto"/>
          <w:sz w:val="24"/>
          <w:highlight w:val="none"/>
        </w:rPr>
        <w:t>价，向你方提供</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要求的服务。</w:t>
      </w:r>
      <w:r>
        <w:rPr>
          <w:rFonts w:hint="eastAsia" w:ascii="宋体" w:hAnsi="宋体" w:cs="宋体"/>
          <w:i w:val="0"/>
          <w:iCs w:val="0"/>
          <w:color w:val="auto"/>
          <w:sz w:val="24"/>
          <w:szCs w:val="24"/>
          <w:highlight w:val="none"/>
        </w:rPr>
        <w:t xml:space="preserve">    </w:t>
      </w:r>
    </w:p>
    <w:p w14:paraId="498B7789">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1.我方承诺在投标有效期内不修改或撤销投标文件。否则，你方可不予退还我方的投标保证金。</w:t>
      </w:r>
    </w:p>
    <w:p w14:paraId="5326526F">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2.本投标的投标有效期为自投标截止之日起</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个日历天。</w:t>
      </w:r>
    </w:p>
    <w:p w14:paraId="3B10D72C">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3.我方承诺所提交的投标文件及有关资料是完整的、真实的、准确的和有效的，否则，我方承担由此造成的任何损失及引起的任何后果。</w:t>
      </w:r>
    </w:p>
    <w:p w14:paraId="4B9614D4">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4.我方严格遵守“诚实信用”的原则，参与本项目招标投标活动提供的所有材料（包括但不限于资格证明、承诺、业绩、人员、异议、</w:t>
      </w:r>
      <w:r>
        <w:rPr>
          <w:rFonts w:hint="eastAsia" w:ascii="宋体" w:hAnsi="宋体" w:cs="宋体"/>
          <w:i w:val="0"/>
          <w:iCs w:val="0"/>
          <w:color w:val="auto"/>
          <w:kern w:val="0"/>
          <w:sz w:val="24"/>
          <w:highlight w:val="none"/>
          <w:lang w:eastAsia="zh-CN"/>
        </w:rPr>
        <w:t>投诉</w:t>
      </w:r>
      <w:r>
        <w:rPr>
          <w:rFonts w:hint="eastAsia" w:ascii="宋体" w:hAnsi="宋体" w:cs="宋体"/>
          <w:i w:val="0"/>
          <w:iCs w:val="0"/>
          <w:color w:val="auto"/>
          <w:kern w:val="0"/>
          <w:sz w:val="24"/>
          <w:highlight w:val="none"/>
        </w:rPr>
        <w:t>、其他信誉信用证明材料等）均真实有效，无弄虚作假。同意应贵方要求提供与本投标有关的任何数据和资料，并保证数据和资料的完整性和真实性。若有违反，我方愿意承担一切后果，包括但不限于取消本次投标的投标资格、中标候选人资格或中标资格，并接受由此导致的一切后果。</w:t>
      </w:r>
    </w:p>
    <w:p w14:paraId="595E14E3">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5.我方承诺：不挂靠单位投标；不与其他投标人串通投标、围标，依法、依规公平竞争，不损害招标人或其他投标人的合法权益；不转让、出租、出借资质证书、人员岗位证书，不以法律、法规禁止的方式投标。我方将遵守有关的国家法律、法令、条例；我方与招标人不存在利害关系，不影响招标公正性。我方不存在单位负责人为同一人或者存在控股、管理关系的不同单位同时参加本项目的投标。</w:t>
      </w:r>
    </w:p>
    <w:p w14:paraId="0F15C5D9">
      <w:pPr>
        <w:pStyle w:val="12"/>
        <w:ind w:firstLine="480" w:firstLineChars="200"/>
        <w:rPr>
          <w:rFonts w:ascii="宋体" w:hAnsi="宋体" w:cs="宋体"/>
          <w:i w:val="0"/>
          <w:iCs w:val="0"/>
          <w:color w:val="auto"/>
          <w:kern w:val="0"/>
          <w:sz w:val="24"/>
          <w:highlight w:val="none"/>
        </w:rPr>
      </w:pPr>
      <w:r>
        <w:rPr>
          <w:rFonts w:hint="eastAsia" w:ascii="宋体" w:hAnsi="宋体" w:cs="宋体"/>
          <w:i w:val="0"/>
          <w:iCs w:val="0"/>
          <w:color w:val="auto"/>
          <w:kern w:val="0"/>
          <w:sz w:val="24"/>
          <w:highlight w:val="none"/>
        </w:rPr>
        <w:t>6.我方本次投标不存在违反有关廉洁规定的行为；若中标，在合同执行期间和质保期间，也承诺不会违反有关的廉洁规定”的承诺。</w:t>
      </w:r>
    </w:p>
    <w:p w14:paraId="742E2F9A">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7.如我方中标：</w:t>
      </w:r>
    </w:p>
    <w:p w14:paraId="21CF8555">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（1）在收到中标通知书后，在中标通知书规定的期限内与你方签订合同；</w:t>
      </w:r>
    </w:p>
    <w:p w14:paraId="69AEE0C4">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（2）在签订合同时不向你方提出附加条件；</w:t>
      </w:r>
    </w:p>
    <w:p w14:paraId="7058E5B3">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（3）按照</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要求提交履约保证金；</w:t>
      </w:r>
    </w:p>
    <w:p w14:paraId="27319D16">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（4）在合同约定的期限内完成合同规定的全部义务；</w:t>
      </w:r>
    </w:p>
    <w:p w14:paraId="731FC17B">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（5）我方承诺在服务过程中严格遵守招标人内部有关管理的规定。</w:t>
      </w:r>
    </w:p>
    <w:p w14:paraId="2904CBD9">
      <w:pPr>
        <w:pStyle w:val="12"/>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（6）除商务条款偏离表列出的偏差外，我方响应</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的全部要求。</w:t>
      </w:r>
    </w:p>
    <w:p w14:paraId="1B62B61F">
      <w:pPr>
        <w:autoSpaceDE w:val="0"/>
        <w:autoSpaceDN w:val="0"/>
        <w:adjustRightInd w:val="0"/>
        <w:snapToGri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8.</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（其他补充说明）。</w:t>
      </w:r>
    </w:p>
    <w:p w14:paraId="61F2BC7E">
      <w:pPr>
        <w:pStyle w:val="12"/>
        <w:ind w:firstLine="482" w:firstLineChars="200"/>
        <w:rPr>
          <w:rFonts w:ascii="宋体" w:hAnsi="宋体" w:cs="宋体"/>
          <w:b/>
          <w:bCs/>
          <w:i w:val="0"/>
          <w:iCs w:val="0"/>
          <w:color w:val="auto"/>
          <w:sz w:val="24"/>
          <w:highlight w:val="none"/>
        </w:rPr>
      </w:pPr>
      <w:r>
        <w:rPr>
          <w:rFonts w:hint="eastAsia" w:ascii="宋体" w:hAnsi="宋体" w:cs="宋体"/>
          <w:b/>
          <w:bCs/>
          <w:i w:val="0"/>
          <w:iCs w:val="0"/>
          <w:color w:val="auto"/>
          <w:sz w:val="24"/>
          <w:highlight w:val="none"/>
        </w:rPr>
        <w:t>此函及投标文件</w:t>
      </w:r>
      <w:r>
        <w:rPr>
          <w:rFonts w:hint="eastAsia" w:ascii="宋体" w:hAnsi="宋体" w:cs="宋体"/>
          <w:b/>
          <w:bCs/>
          <w:i w:val="0"/>
          <w:iCs w:val="0"/>
          <w:color w:val="auto"/>
          <w:sz w:val="24"/>
          <w:highlight w:val="none"/>
          <w:lang w:eastAsia="zh-CN"/>
        </w:rPr>
        <w:t>作为</w:t>
      </w:r>
      <w:r>
        <w:rPr>
          <w:rFonts w:hint="eastAsia" w:ascii="宋体" w:hAnsi="宋体" w:cs="宋体"/>
          <w:b/>
          <w:bCs/>
          <w:i w:val="0"/>
          <w:iCs w:val="0"/>
          <w:color w:val="auto"/>
          <w:sz w:val="24"/>
          <w:highlight w:val="none"/>
        </w:rPr>
        <w:t>我方的承诺，若有违背，我方将承担完全法律责任，且招标人有权取消我方的投标或中标候选或中标资格。给招标人造成损失的，我方依法承担全部赔偿责任。已签订合同的，招标人有权单方面终止合同。我方将赔偿一切损失。</w:t>
      </w:r>
    </w:p>
    <w:p w14:paraId="751AE960">
      <w:pPr>
        <w:pStyle w:val="12"/>
        <w:ind w:firstLine="480" w:firstLineChars="200"/>
        <w:rPr>
          <w:rFonts w:ascii="宋体" w:hAnsi="宋体" w:cs="宋体"/>
          <w:i w:val="0"/>
          <w:iCs w:val="0"/>
          <w:color w:val="auto"/>
          <w:kern w:val="0"/>
          <w:sz w:val="24"/>
          <w:highlight w:val="none"/>
        </w:rPr>
      </w:pPr>
    </w:p>
    <w:p w14:paraId="79A805EC">
      <w:pPr>
        <w:spacing w:line="360" w:lineRule="auto"/>
        <w:ind w:firstLine="2891" w:firstLineChars="120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 标 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(加盖单位公章)</w:t>
      </w:r>
    </w:p>
    <w:p w14:paraId="1EB2D39E">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法定代表人(单位负责人)或其委托代理人：</w:t>
      </w:r>
      <w:r>
        <w:rPr>
          <w:rFonts w:hint="eastAsia" w:ascii="宋体" w:hAnsi="宋体" w:cs="宋体"/>
          <w:b/>
          <w:bCs/>
          <w:i w:val="0"/>
          <w:iCs w:val="0"/>
          <w:color w:val="auto"/>
          <w:sz w:val="24"/>
          <w:szCs w:val="24"/>
          <w:highlight w:val="none"/>
          <w:u w:val="single"/>
        </w:rPr>
        <w:tab/>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(签字或盖章)</w:t>
      </w:r>
    </w:p>
    <w:p w14:paraId="2B881F8F">
      <w:pPr>
        <w:spacing w:line="360" w:lineRule="auto"/>
        <w:ind w:left="2880"/>
        <w:rPr>
          <w:rFonts w:ascii="宋体" w:hAnsi="宋体" w:cs="宋体"/>
          <w:b/>
          <w:bCs/>
          <w:i w:val="0"/>
          <w:iCs w:val="0"/>
          <w:color w:val="auto"/>
          <w:sz w:val="24"/>
          <w:szCs w:val="24"/>
          <w:highlight w:val="none"/>
          <w:u w:val="single"/>
        </w:rPr>
      </w:pPr>
      <w:r>
        <w:rPr>
          <w:rFonts w:hint="eastAsia" w:ascii="宋体" w:hAnsi="宋体" w:cs="宋体"/>
          <w:b/>
          <w:bCs/>
          <w:i w:val="0"/>
          <w:iCs w:val="0"/>
          <w:color w:val="auto"/>
          <w:sz w:val="24"/>
          <w:szCs w:val="24"/>
          <w:highlight w:val="none"/>
        </w:rPr>
        <w:t>地</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址：</w:t>
      </w:r>
      <w:r>
        <w:rPr>
          <w:rFonts w:hint="eastAsia" w:ascii="宋体" w:hAnsi="宋体" w:cs="宋体"/>
          <w:b/>
          <w:bCs/>
          <w:i w:val="0"/>
          <w:iCs w:val="0"/>
          <w:color w:val="auto"/>
          <w:sz w:val="24"/>
          <w:szCs w:val="24"/>
          <w:highlight w:val="none"/>
          <w:u w:val="single"/>
        </w:rPr>
        <w:t xml:space="preserve">                                           </w:t>
      </w:r>
    </w:p>
    <w:p w14:paraId="19EA41FC">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网</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址：</w:t>
      </w:r>
      <w:r>
        <w:rPr>
          <w:rFonts w:hint="eastAsia" w:ascii="宋体" w:hAnsi="宋体" w:cs="宋体"/>
          <w:b/>
          <w:bCs/>
          <w:i w:val="0"/>
          <w:iCs w:val="0"/>
          <w:color w:val="auto"/>
          <w:sz w:val="24"/>
          <w:szCs w:val="24"/>
          <w:highlight w:val="none"/>
          <w:u w:val="single"/>
        </w:rPr>
        <w:t xml:space="preserve">                                           </w:t>
      </w:r>
    </w:p>
    <w:p w14:paraId="08F5E926">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电</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话：</w:t>
      </w:r>
      <w:r>
        <w:rPr>
          <w:rFonts w:hint="eastAsia" w:ascii="宋体" w:hAnsi="宋体" w:cs="宋体"/>
          <w:b/>
          <w:bCs/>
          <w:i w:val="0"/>
          <w:iCs w:val="0"/>
          <w:color w:val="auto"/>
          <w:sz w:val="24"/>
          <w:szCs w:val="24"/>
          <w:highlight w:val="none"/>
          <w:u w:val="single"/>
        </w:rPr>
        <w:t xml:space="preserve">                                           </w:t>
      </w:r>
    </w:p>
    <w:p w14:paraId="06A2F5B4">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传</w:t>
      </w:r>
      <w:r>
        <w:rPr>
          <w:rFonts w:hint="eastAsia" w:ascii="宋体" w:hAnsi="宋体" w:cs="宋体"/>
          <w:b/>
          <w:bCs/>
          <w:i w:val="0"/>
          <w:iCs w:val="0"/>
          <w:color w:val="auto"/>
          <w:sz w:val="24"/>
          <w:szCs w:val="24"/>
          <w:highlight w:val="none"/>
        </w:rPr>
        <w:tab/>
      </w:r>
      <w:r>
        <w:rPr>
          <w:rFonts w:hint="eastAsia" w:ascii="宋体" w:hAnsi="宋体" w:cs="宋体"/>
          <w:b/>
          <w:bCs/>
          <w:i w:val="0"/>
          <w:iCs w:val="0"/>
          <w:color w:val="auto"/>
          <w:sz w:val="24"/>
          <w:szCs w:val="24"/>
          <w:highlight w:val="none"/>
        </w:rPr>
        <w:t>真：</w:t>
      </w:r>
      <w:r>
        <w:rPr>
          <w:rFonts w:hint="eastAsia" w:ascii="宋体" w:hAnsi="宋体" w:cs="宋体"/>
          <w:b/>
          <w:bCs/>
          <w:i w:val="0"/>
          <w:iCs w:val="0"/>
          <w:color w:val="auto"/>
          <w:sz w:val="24"/>
          <w:szCs w:val="24"/>
          <w:highlight w:val="none"/>
          <w:u w:val="single"/>
        </w:rPr>
        <w:t xml:space="preserve">                                           </w:t>
      </w:r>
    </w:p>
    <w:p w14:paraId="316AD0F2">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邮政编码：</w:t>
      </w:r>
      <w:r>
        <w:rPr>
          <w:rFonts w:hint="eastAsia" w:ascii="宋体" w:hAnsi="宋体" w:cs="宋体"/>
          <w:b/>
          <w:bCs/>
          <w:i w:val="0"/>
          <w:iCs w:val="0"/>
          <w:color w:val="auto"/>
          <w:sz w:val="24"/>
          <w:szCs w:val="24"/>
          <w:highlight w:val="none"/>
          <w:u w:val="single"/>
        </w:rPr>
        <w:t xml:space="preserve">                                         </w:t>
      </w:r>
    </w:p>
    <w:p w14:paraId="5C6C354C">
      <w:pPr>
        <w:spacing w:line="360" w:lineRule="auto"/>
        <w:ind w:left="2880"/>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日  期：</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年</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月</w:t>
      </w:r>
      <w:r>
        <w:rPr>
          <w:rFonts w:hint="eastAsia" w:ascii="宋体" w:hAnsi="宋体" w:cs="宋体"/>
          <w:b/>
          <w:bCs/>
          <w:i w:val="0"/>
          <w:iCs w:val="0"/>
          <w:color w:val="auto"/>
          <w:sz w:val="24"/>
          <w:szCs w:val="24"/>
          <w:highlight w:val="none"/>
          <w:u w:val="single"/>
        </w:rPr>
        <w:t xml:space="preserve">    </w:t>
      </w:r>
      <w:r>
        <w:rPr>
          <w:rFonts w:hint="eastAsia" w:ascii="宋体" w:hAnsi="宋体" w:cs="宋体"/>
          <w:b/>
          <w:bCs/>
          <w:i w:val="0"/>
          <w:iCs w:val="0"/>
          <w:color w:val="auto"/>
          <w:sz w:val="24"/>
          <w:szCs w:val="24"/>
          <w:highlight w:val="none"/>
        </w:rPr>
        <w:t>日</w:t>
      </w:r>
    </w:p>
    <w:p w14:paraId="3ABB85C3">
      <w:pPr>
        <w:spacing w:line="360" w:lineRule="auto"/>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 xml:space="preserve"> </w:t>
      </w:r>
    </w:p>
    <w:p w14:paraId="7B6CA13D">
      <w:pPr>
        <w:spacing w:line="240" w:lineRule="exact"/>
        <w:rPr>
          <w:rFonts w:ascii="宋体" w:hAnsi="宋体" w:cs="宋体"/>
          <w:b/>
          <w:bCs/>
          <w:i w:val="0"/>
          <w:iCs w:val="0"/>
          <w:color w:val="auto"/>
          <w:sz w:val="44"/>
          <w:szCs w:val="44"/>
          <w:highlight w:val="none"/>
        </w:rPr>
      </w:pPr>
    </w:p>
    <w:p w14:paraId="700B97FA">
      <w:pPr>
        <w:bidi w:val="0"/>
        <w:jc w:val="left"/>
        <w:rPr>
          <w:rFonts w:hint="eastAsia" w:ascii="宋体" w:hAnsi="宋体" w:eastAsia="宋体" w:cs="宋体"/>
          <w:b/>
          <w:bCs/>
          <w:sz w:val="28"/>
          <w:szCs w:val="28"/>
          <w:lang w:val="en-US" w:eastAsia="zh-CN"/>
        </w:rPr>
      </w:pPr>
      <w:bookmarkStart w:id="270" w:name="_Toc17119"/>
      <w:bookmarkEnd w:id="270"/>
      <w:bookmarkStart w:id="271" w:name="_Toc13197"/>
      <w:r>
        <w:rPr>
          <w:rFonts w:hint="eastAsia" w:ascii="宋体" w:hAnsi="宋体" w:cs="宋体"/>
          <w:i w:val="0"/>
          <w:iCs w:val="0"/>
          <w:color w:val="auto"/>
          <w:sz w:val="28"/>
          <w:szCs w:val="28"/>
          <w:highlight w:val="none"/>
        </w:rPr>
        <w:br w:type="page"/>
      </w:r>
      <w:bookmarkEnd w:id="271"/>
      <w:bookmarkStart w:id="272" w:name="_Toc32410"/>
      <w:bookmarkStart w:id="273" w:name="_Toc4610"/>
      <w:r>
        <w:rPr>
          <w:rFonts w:hint="eastAsia"/>
          <w:b/>
          <w:bCs/>
          <w:sz w:val="30"/>
          <w:szCs w:val="30"/>
          <w:lang w:val="en-US" w:eastAsia="zh-CN"/>
        </w:rPr>
        <w:t>格式3：</w:t>
      </w:r>
      <w:bookmarkEnd w:id="272"/>
      <w:bookmarkEnd w:id="273"/>
    </w:p>
    <w:p w14:paraId="460A339F">
      <w:pPr>
        <w:spacing w:line="200" w:lineRule="exact"/>
        <w:rPr>
          <w:rFonts w:ascii="宋体" w:hAnsi="宋体" w:cs="宋体"/>
          <w:i w:val="0"/>
          <w:iCs w:val="0"/>
          <w:color w:val="auto"/>
          <w:sz w:val="28"/>
          <w:szCs w:val="28"/>
          <w:highlight w:val="none"/>
        </w:rPr>
      </w:pPr>
    </w:p>
    <w:p w14:paraId="6DCA4F58">
      <w:pPr>
        <w:bidi w:val="0"/>
        <w:jc w:val="center"/>
        <w:rPr>
          <w:rFonts w:hint="eastAsia"/>
          <w:b/>
          <w:bCs/>
          <w:sz w:val="28"/>
          <w:szCs w:val="28"/>
          <w:lang w:val="en-US" w:eastAsia="zh-CN"/>
        </w:rPr>
      </w:pPr>
      <w:bookmarkStart w:id="274" w:name="_Toc3775"/>
      <w:bookmarkStart w:id="275" w:name="_Toc16863"/>
      <w:bookmarkStart w:id="276" w:name="_Toc12750"/>
      <w:r>
        <w:rPr>
          <w:rFonts w:hint="eastAsia"/>
          <w:b/>
          <w:bCs/>
          <w:sz w:val="28"/>
          <w:szCs w:val="28"/>
          <w:lang w:val="en-US" w:eastAsia="zh-CN"/>
        </w:rPr>
        <w:t>法定代表人(单位负责人)身份证明</w:t>
      </w:r>
      <w:bookmarkEnd w:id="274"/>
      <w:r>
        <w:rPr>
          <w:rFonts w:hint="eastAsia"/>
          <w:b/>
          <w:bCs/>
          <w:sz w:val="28"/>
          <w:szCs w:val="28"/>
          <w:lang w:val="en-US" w:eastAsia="zh-CN"/>
        </w:rPr>
        <w:t>书</w:t>
      </w:r>
      <w:bookmarkEnd w:id="275"/>
      <w:bookmarkEnd w:id="276"/>
    </w:p>
    <w:p w14:paraId="709702E0">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060192CF">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4C8CEF5A">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1E8F69AB">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投标人名称：</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 xml:space="preserve"> </w:t>
      </w:r>
    </w:p>
    <w:p w14:paraId="5036A1B7">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单位性质：</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 xml:space="preserve"> </w:t>
      </w:r>
    </w:p>
    <w:p w14:paraId="0EE9D50E">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地    址：</w:t>
      </w:r>
      <w:r>
        <w:rPr>
          <w:rFonts w:hint="eastAsia" w:ascii="宋体" w:hAnsi="宋体" w:cs="宋体"/>
          <w:i w:val="0"/>
          <w:iCs w:val="0"/>
          <w:color w:val="auto"/>
          <w:sz w:val="24"/>
          <w:highlight w:val="none"/>
          <w:u w:val="single"/>
        </w:rPr>
        <w:t xml:space="preserve">                        </w:t>
      </w:r>
    </w:p>
    <w:p w14:paraId="3D822A0D">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成立时间：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年</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月</w:t>
      </w:r>
      <w:r>
        <w:rPr>
          <w:rFonts w:hint="eastAsia" w:ascii="宋体" w:hAnsi="宋体" w:cs="宋体"/>
          <w:i w:val="0"/>
          <w:iCs w:val="0"/>
          <w:color w:val="auto"/>
          <w:sz w:val="24"/>
          <w:highlight w:val="none"/>
          <w:u w:val="single"/>
        </w:rPr>
        <w:t xml:space="preserve">       </w:t>
      </w:r>
      <w:r>
        <w:rPr>
          <w:rFonts w:hint="eastAsia" w:ascii="宋体" w:hAnsi="宋体" w:cs="宋体"/>
          <w:i w:val="0"/>
          <w:iCs w:val="0"/>
          <w:color w:val="auto"/>
          <w:sz w:val="24"/>
          <w:highlight w:val="none"/>
        </w:rPr>
        <w:t>日</w:t>
      </w:r>
    </w:p>
    <w:p w14:paraId="5C8ACC33">
      <w:pPr>
        <w:autoSpaceDE w:val="0"/>
        <w:autoSpaceDN w:val="0"/>
        <w:adjustRightInd w:val="0"/>
        <w:spacing w:line="360" w:lineRule="auto"/>
        <w:ind w:firstLine="480" w:firstLineChars="200"/>
        <w:rPr>
          <w:rFonts w:ascii="宋体" w:hAnsi="宋体" w:cs="宋体"/>
          <w:i w:val="0"/>
          <w:iCs w:val="0"/>
          <w:color w:val="auto"/>
          <w:sz w:val="24"/>
          <w:highlight w:val="none"/>
        </w:rPr>
      </w:pPr>
      <w:r>
        <w:rPr>
          <w:rFonts w:hint="eastAsia" w:ascii="宋体" w:hAnsi="宋体" w:cs="宋体"/>
          <w:i w:val="0"/>
          <w:iCs w:val="0"/>
          <w:color w:val="auto"/>
          <w:sz w:val="24"/>
          <w:highlight w:val="none"/>
        </w:rPr>
        <w:t>经营期限：</w:t>
      </w:r>
      <w:r>
        <w:rPr>
          <w:rFonts w:hint="eastAsia" w:ascii="宋体" w:hAnsi="宋体" w:cs="宋体"/>
          <w:i w:val="0"/>
          <w:iCs w:val="0"/>
          <w:color w:val="auto"/>
          <w:sz w:val="24"/>
          <w:highlight w:val="none"/>
          <w:u w:val="single"/>
        </w:rPr>
        <w:t xml:space="preserve">                         </w:t>
      </w:r>
    </w:p>
    <w:p w14:paraId="48987D1F">
      <w:pPr>
        <w:spacing w:line="360" w:lineRule="auto"/>
        <w:ind w:firstLine="480" w:firstLineChars="200"/>
        <w:rPr>
          <w:rFonts w:ascii="宋体" w:hAnsi="宋体" w:cs="宋体"/>
          <w:i w:val="0"/>
          <w:iCs w:val="0"/>
          <w:color w:val="auto"/>
          <w:sz w:val="24"/>
          <w:szCs w:val="24"/>
          <w:highlight w:val="none"/>
        </w:rPr>
      </w:pPr>
    </w:p>
    <w:p w14:paraId="0300954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姓名：</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性别：</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年龄：</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职务：</w:t>
      </w:r>
      <w:r>
        <w:rPr>
          <w:rFonts w:hint="eastAsia" w:ascii="宋体" w:hAnsi="宋体" w:cs="宋体"/>
          <w:i w:val="0"/>
          <w:iCs w:val="0"/>
          <w:color w:val="auto"/>
          <w:sz w:val="24"/>
          <w:szCs w:val="24"/>
          <w:highlight w:val="none"/>
          <w:u w:val="single"/>
        </w:rPr>
        <w:t xml:space="preserve">          </w:t>
      </w:r>
    </w:p>
    <w:p w14:paraId="01142D9D">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系</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(投标人名称)的法定代表人(单位负责人)。</w:t>
      </w:r>
    </w:p>
    <w:p w14:paraId="3310071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特此证明。</w:t>
      </w:r>
    </w:p>
    <w:p w14:paraId="7F0F816A">
      <w:pPr>
        <w:spacing w:line="48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w:t>
      </w:r>
    </w:p>
    <w:p w14:paraId="56CC92D1">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附：法定代表人(单位负责人)身份证复印件。</w:t>
      </w:r>
    </w:p>
    <w:p w14:paraId="0A344AE5">
      <w:pPr>
        <w:spacing w:line="360" w:lineRule="auto"/>
        <w:ind w:left="4480"/>
        <w:jc w:val="both"/>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70B9F10">
      <w:pPr>
        <w:spacing w:line="360" w:lineRule="auto"/>
        <w:ind w:left="4480"/>
        <w:jc w:val="both"/>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投标人：</w:t>
      </w:r>
      <w:r>
        <w:rPr>
          <w:rFonts w:hint="eastAsia" w:ascii="宋体" w:hAnsi="宋体" w:cs="宋体"/>
          <w:b/>
          <w:i w:val="0"/>
          <w:iCs w:val="0"/>
          <w:color w:val="auto"/>
          <w:sz w:val="24"/>
          <w:szCs w:val="24"/>
          <w:highlight w:val="none"/>
          <w:u w:val="single"/>
        </w:rPr>
        <w:tab/>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(加盖单位公章)</w:t>
      </w:r>
    </w:p>
    <w:p w14:paraId="0BBC6EBE">
      <w:pPr>
        <w:spacing w:line="2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5CCC4BEB">
      <w:pPr>
        <w:spacing w:line="20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1BD1DCEF">
      <w:pPr>
        <w:spacing w:line="200" w:lineRule="exact"/>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8D1557C">
      <w:pPr>
        <w:wordWrap w:val="0"/>
        <w:ind w:right="480"/>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w:t>
      </w:r>
    </w:p>
    <w:p w14:paraId="3D1C1D20">
      <w:pPr>
        <w:wordWrap w:val="0"/>
        <w:ind w:right="480"/>
        <w:jc w:val="center"/>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 xml:space="preserve">                       日  期：</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年</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月</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日</w:t>
      </w:r>
    </w:p>
    <w:p w14:paraId="19A01E79">
      <w:pPr>
        <w:spacing w:line="360" w:lineRule="auto"/>
        <w:ind w:firstLine="5760" w:firstLineChars="2400"/>
        <w:jc w:val="both"/>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w:t>
      </w:r>
    </w:p>
    <w:p w14:paraId="3F66D68D">
      <w:pPr>
        <w:spacing w:line="20" w:lineRule="exact"/>
        <w:rPr>
          <w:rFonts w:ascii="宋体" w:hAnsi="宋体" w:cs="宋体"/>
          <w:b/>
          <w:bCs/>
          <w:i w:val="0"/>
          <w:iCs w:val="0"/>
          <w:color w:val="auto"/>
          <w:sz w:val="44"/>
          <w:szCs w:val="44"/>
          <w:highlight w:val="none"/>
        </w:rPr>
      </w:pPr>
      <w:r>
        <w:rPr>
          <w:rFonts w:hint="eastAsia" w:ascii="宋体" w:hAnsi="宋体" w:cs="宋体"/>
          <w:i w:val="0"/>
          <w:iCs w:val="0"/>
          <w:color w:val="auto"/>
          <w:highlight w:val="none"/>
        </w:rPr>
        <w:t xml:space="preserve"> </w:t>
      </w:r>
    </w:p>
    <w:tbl>
      <w:tblPr>
        <w:tblStyle w:val="34"/>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3CC7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6" w:hRule="atLeast"/>
          <w:jc w:val="center"/>
        </w:trPr>
        <w:tc>
          <w:tcPr>
            <w:tcW w:w="9627" w:type="dxa"/>
            <w:vAlign w:val="center"/>
          </w:tcPr>
          <w:p w14:paraId="39377C9D">
            <w:pPr>
              <w:spacing w:before="240" w:beforeLines="100" w:after="240" w:afterLines="100" w:line="60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法定代表人(单位负责人)身份证正反面</w:t>
            </w:r>
          </w:p>
        </w:tc>
      </w:tr>
    </w:tbl>
    <w:p w14:paraId="790B9623">
      <w:pPr>
        <w:bidi w:val="0"/>
        <w:jc w:val="left"/>
        <w:rPr>
          <w:rFonts w:ascii="宋体" w:hAnsi="宋体" w:cs="宋体"/>
          <w:i w:val="0"/>
          <w:iCs w:val="0"/>
          <w:color w:val="auto"/>
          <w:highlight w:val="none"/>
        </w:rPr>
      </w:pPr>
      <w:r>
        <w:rPr>
          <w:rFonts w:hint="eastAsia" w:ascii="宋体" w:hAnsi="宋体" w:cs="宋体"/>
          <w:i w:val="0"/>
          <w:iCs w:val="0"/>
          <w:color w:val="auto"/>
          <w:szCs w:val="28"/>
          <w:highlight w:val="none"/>
        </w:rPr>
        <w:br w:type="page"/>
      </w:r>
      <w:bookmarkStart w:id="277" w:name="_Toc16087"/>
      <w:bookmarkStart w:id="278" w:name="_Toc17729"/>
      <w:r>
        <w:rPr>
          <w:rFonts w:hint="eastAsia"/>
          <w:b/>
          <w:bCs/>
          <w:sz w:val="30"/>
          <w:szCs w:val="30"/>
          <w:lang w:val="en-US" w:eastAsia="zh-CN"/>
        </w:rPr>
        <w:t>格式4：</w:t>
      </w:r>
      <w:bookmarkEnd w:id="277"/>
      <w:bookmarkEnd w:id="278"/>
    </w:p>
    <w:p w14:paraId="190981A6">
      <w:pPr>
        <w:spacing w:line="240" w:lineRule="exact"/>
        <w:rPr>
          <w:rFonts w:ascii="宋体" w:hAnsi="宋体" w:cs="宋体"/>
          <w:b/>
          <w:bCs/>
          <w:i w:val="0"/>
          <w:iCs w:val="0"/>
          <w:color w:val="auto"/>
          <w:sz w:val="44"/>
          <w:szCs w:val="44"/>
          <w:highlight w:val="none"/>
        </w:rPr>
      </w:pPr>
    </w:p>
    <w:p w14:paraId="2116BC45">
      <w:pPr>
        <w:bidi w:val="0"/>
        <w:jc w:val="center"/>
        <w:rPr>
          <w:rFonts w:ascii="宋体" w:hAnsi="宋体" w:cs="宋体"/>
          <w:i w:val="0"/>
          <w:iCs w:val="0"/>
          <w:color w:val="auto"/>
          <w:szCs w:val="28"/>
          <w:highlight w:val="none"/>
        </w:rPr>
      </w:pPr>
      <w:bookmarkStart w:id="279" w:name="_Toc31847"/>
      <w:bookmarkEnd w:id="279"/>
      <w:bookmarkStart w:id="280" w:name="_Toc15398"/>
      <w:bookmarkEnd w:id="280"/>
      <w:bookmarkStart w:id="281" w:name="_Toc21952"/>
      <w:bookmarkStart w:id="282" w:name="_Toc7774"/>
      <w:r>
        <w:rPr>
          <w:rFonts w:hint="eastAsia"/>
          <w:b/>
          <w:bCs/>
          <w:sz w:val="28"/>
          <w:szCs w:val="28"/>
          <w:lang w:val="en-US" w:eastAsia="zh-CN"/>
        </w:rPr>
        <w:t>授权委托书</w:t>
      </w:r>
      <w:bookmarkEnd w:id="281"/>
      <w:bookmarkEnd w:id="282"/>
    </w:p>
    <w:p w14:paraId="130ABA60">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575D1659">
      <w:pPr>
        <w:spacing w:line="200" w:lineRule="exact"/>
        <w:rPr>
          <w:rFonts w:ascii="宋体" w:hAnsi="宋体" w:cs="宋体"/>
          <w:i w:val="0"/>
          <w:iCs w:val="0"/>
          <w:color w:val="auto"/>
          <w:highlight w:val="none"/>
        </w:rPr>
      </w:pPr>
      <w:r>
        <w:rPr>
          <w:rFonts w:hint="eastAsia" w:ascii="宋体" w:hAnsi="宋体" w:cs="宋体"/>
          <w:i w:val="0"/>
          <w:iCs w:val="0"/>
          <w:color w:val="auto"/>
          <w:highlight w:val="none"/>
        </w:rPr>
        <w:t xml:space="preserve"> </w:t>
      </w:r>
    </w:p>
    <w:p w14:paraId="3C3C914F">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本人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(姓名)系</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(投标人名称)的法定代表人(单位负责人)，现委托</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(姓名)为我方代理人。代理人根据授权，以我方名义签署、澄清、说明、补正、递交、撤回、修改</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（项目名称）投标文件、签订合同和处理有关事宜，其法律后果由我方承担。</w:t>
      </w:r>
    </w:p>
    <w:p w14:paraId="10DCC792">
      <w:pPr>
        <w:spacing w:line="36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代理人无转委托权。</w:t>
      </w:r>
    </w:p>
    <w:p w14:paraId="483909BF">
      <w:pPr>
        <w:spacing w:line="360" w:lineRule="auto"/>
        <w:ind w:firstLine="480" w:firstLineChars="200"/>
        <w:rPr>
          <w:rFonts w:ascii="宋体" w:hAnsi="宋体" w:cs="宋体"/>
          <w:i w:val="0"/>
          <w:iCs w:val="0"/>
          <w:color w:val="auto"/>
          <w:sz w:val="24"/>
          <w:szCs w:val="24"/>
          <w:highlight w:val="none"/>
        </w:rPr>
      </w:pPr>
    </w:p>
    <w:p w14:paraId="7C870AFE">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投 标 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(加盖单位公章)</w:t>
      </w:r>
    </w:p>
    <w:p w14:paraId="3469F03B">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法定代表人(单位负责人)：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(签字或盖章)</w:t>
      </w:r>
    </w:p>
    <w:p w14:paraId="66B83C20">
      <w:pPr>
        <w:autoSpaceDE w:val="0"/>
        <w:autoSpaceDN w:val="0"/>
        <w:adjustRightInd w:val="0"/>
        <w:spacing w:line="360" w:lineRule="auto"/>
        <w:ind w:firstLine="3373" w:firstLineChars="1400"/>
        <w:rPr>
          <w:rFonts w:ascii="宋体" w:hAnsi="宋体" w:cs="宋体"/>
          <w:b/>
          <w:bCs/>
          <w:i w:val="0"/>
          <w:iCs w:val="0"/>
          <w:color w:val="auto"/>
          <w:sz w:val="24"/>
          <w:szCs w:val="24"/>
          <w:highlight w:val="none"/>
          <w:u w:val="single"/>
        </w:rPr>
      </w:pPr>
      <w:r>
        <w:rPr>
          <w:rFonts w:hint="eastAsia" w:ascii="宋体" w:hAnsi="宋体" w:cs="宋体"/>
          <w:b/>
          <w:bCs/>
          <w:i w:val="0"/>
          <w:iCs w:val="0"/>
          <w:color w:val="auto"/>
          <w:sz w:val="24"/>
          <w:szCs w:val="24"/>
          <w:highlight w:val="none"/>
        </w:rPr>
        <w:t>身份证号码：</w:t>
      </w:r>
      <w:r>
        <w:rPr>
          <w:rFonts w:hint="eastAsia" w:ascii="宋体" w:hAnsi="宋体" w:cs="宋体"/>
          <w:b/>
          <w:bCs/>
          <w:i w:val="0"/>
          <w:iCs w:val="0"/>
          <w:color w:val="auto"/>
          <w:sz w:val="24"/>
          <w:szCs w:val="24"/>
          <w:highlight w:val="none"/>
          <w:u w:val="single"/>
        </w:rPr>
        <w:t xml:space="preserve">                            </w:t>
      </w:r>
    </w:p>
    <w:p w14:paraId="57F40E33">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委托代理人：</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(签字或盖章)</w:t>
      </w:r>
    </w:p>
    <w:p w14:paraId="5E92AE0F">
      <w:pPr>
        <w:autoSpaceDE w:val="0"/>
        <w:autoSpaceDN w:val="0"/>
        <w:adjustRightInd w:val="0"/>
        <w:spacing w:line="360" w:lineRule="auto"/>
        <w:ind w:firstLine="3373" w:firstLineChars="1400"/>
        <w:rPr>
          <w:rFonts w:ascii="宋体" w:hAnsi="宋体" w:cs="宋体"/>
          <w:i w:val="0"/>
          <w:iCs w:val="0"/>
          <w:color w:val="auto"/>
          <w:highlight w:val="none"/>
        </w:rPr>
      </w:pPr>
      <w:r>
        <w:rPr>
          <w:rFonts w:hint="eastAsia" w:ascii="宋体" w:hAnsi="宋体" w:cs="宋体"/>
          <w:b/>
          <w:bCs/>
          <w:i w:val="0"/>
          <w:iCs w:val="0"/>
          <w:color w:val="auto"/>
          <w:sz w:val="24"/>
          <w:highlight w:val="none"/>
        </w:rPr>
        <w:t>身份证号码：</w:t>
      </w:r>
      <w:r>
        <w:rPr>
          <w:rFonts w:hint="eastAsia" w:ascii="宋体" w:hAnsi="宋体" w:cs="宋体"/>
          <w:b/>
          <w:bCs/>
          <w:i w:val="0"/>
          <w:iCs w:val="0"/>
          <w:color w:val="auto"/>
          <w:sz w:val="24"/>
          <w:highlight w:val="none"/>
          <w:u w:val="single"/>
        </w:rPr>
        <w:t xml:space="preserve">                            </w:t>
      </w:r>
    </w:p>
    <w:p w14:paraId="2F0F2BA8">
      <w:pPr>
        <w:spacing w:before="468" w:line="360" w:lineRule="auto"/>
        <w:ind w:firstLine="3373" w:firstLineChars="1400"/>
        <w:rPr>
          <w:rFonts w:ascii="宋体" w:hAnsi="宋体" w:cs="宋体"/>
          <w:b/>
          <w:i w:val="0"/>
          <w:iCs w:val="0"/>
          <w:color w:val="auto"/>
          <w:sz w:val="24"/>
          <w:szCs w:val="24"/>
          <w:highlight w:val="none"/>
        </w:rPr>
      </w:pPr>
      <w:r>
        <w:rPr>
          <w:rFonts w:hint="eastAsia" w:ascii="宋体" w:hAnsi="宋体" w:cs="宋体"/>
          <w:b/>
          <w:i w:val="0"/>
          <w:iCs w:val="0"/>
          <w:color w:val="auto"/>
          <w:sz w:val="24"/>
          <w:szCs w:val="24"/>
          <w:highlight w:val="none"/>
        </w:rPr>
        <w:t>日期：</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年</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月</w:t>
      </w:r>
      <w:r>
        <w:rPr>
          <w:rFonts w:hint="eastAsia" w:ascii="宋体" w:hAnsi="宋体" w:cs="宋体"/>
          <w:b/>
          <w:i w:val="0"/>
          <w:iCs w:val="0"/>
          <w:color w:val="auto"/>
          <w:sz w:val="24"/>
          <w:szCs w:val="24"/>
          <w:highlight w:val="none"/>
          <w:u w:val="single"/>
        </w:rPr>
        <w:t xml:space="preserve">    </w:t>
      </w:r>
      <w:r>
        <w:rPr>
          <w:rFonts w:hint="eastAsia" w:ascii="宋体" w:hAnsi="宋体" w:cs="宋体"/>
          <w:b/>
          <w:i w:val="0"/>
          <w:iCs w:val="0"/>
          <w:color w:val="auto"/>
          <w:sz w:val="24"/>
          <w:szCs w:val="24"/>
          <w:highlight w:val="none"/>
        </w:rPr>
        <w:t>日</w:t>
      </w:r>
    </w:p>
    <w:p w14:paraId="7FC5E0FA">
      <w:pPr>
        <w:spacing w:line="360" w:lineRule="auto"/>
        <w:ind w:right="482"/>
        <w:rPr>
          <w:rFonts w:ascii="宋体" w:hAnsi="宋体" w:cs="宋体"/>
          <w:i w:val="0"/>
          <w:iCs w:val="0"/>
          <w:color w:val="auto"/>
          <w:sz w:val="24"/>
          <w:szCs w:val="24"/>
          <w:highlight w:val="none"/>
        </w:rPr>
      </w:pPr>
      <w:r>
        <w:rPr>
          <w:rFonts w:hint="eastAsia" w:ascii="宋体" w:hAnsi="宋体" w:cs="宋体"/>
          <w:b/>
          <w:i w:val="0"/>
          <w:iCs w:val="0"/>
          <w:color w:val="auto"/>
          <w:sz w:val="24"/>
          <w:szCs w:val="24"/>
          <w:highlight w:val="none"/>
        </w:rPr>
        <w:t>注：</w:t>
      </w:r>
      <w:r>
        <w:rPr>
          <w:rFonts w:hint="eastAsia" w:ascii="宋体" w:hAnsi="宋体" w:cs="宋体"/>
          <w:b/>
          <w:i w:val="0"/>
          <w:iCs w:val="0"/>
          <w:color w:val="auto"/>
          <w:sz w:val="24"/>
          <w:highlight w:val="none"/>
        </w:rPr>
        <w:t>附授权委托代理人身份证</w:t>
      </w:r>
      <w:r>
        <w:rPr>
          <w:rFonts w:hint="eastAsia" w:ascii="宋体" w:hAnsi="宋体" w:cs="宋体"/>
          <w:b/>
          <w:i w:val="0"/>
          <w:iCs w:val="0"/>
          <w:color w:val="auto"/>
          <w:sz w:val="24"/>
          <w:szCs w:val="24"/>
          <w:highlight w:val="none"/>
        </w:rPr>
        <w:t>复印件</w:t>
      </w:r>
      <w:r>
        <w:rPr>
          <w:rFonts w:hint="eastAsia" w:ascii="宋体" w:hAnsi="宋体" w:cs="宋体"/>
          <w:b/>
          <w:i w:val="0"/>
          <w:iCs w:val="0"/>
          <w:color w:val="auto"/>
          <w:sz w:val="24"/>
          <w:highlight w:val="none"/>
        </w:rPr>
        <w:t>，如由法定代表人亲自签署</w:t>
      </w:r>
      <w:r>
        <w:rPr>
          <w:rFonts w:hint="eastAsia" w:ascii="宋体" w:hAnsi="宋体" w:cs="宋体"/>
          <w:b/>
          <w:bCs/>
          <w:i w:val="0"/>
          <w:iCs w:val="0"/>
          <w:color w:val="auto"/>
          <w:sz w:val="24"/>
          <w:highlight w:val="none"/>
        </w:rPr>
        <w:t>投标文件</w:t>
      </w:r>
      <w:r>
        <w:rPr>
          <w:rFonts w:hint="eastAsia" w:ascii="宋体" w:hAnsi="宋体" w:cs="宋体"/>
          <w:b/>
          <w:i w:val="0"/>
          <w:iCs w:val="0"/>
          <w:color w:val="auto"/>
          <w:sz w:val="24"/>
          <w:highlight w:val="none"/>
        </w:rPr>
        <w:t>并参与相关活动，则不需要办理授权。如由被授权的代理人签署上述文件，则必须按本格式规定填报并提交授权书，否则被授权的代理人将不被认可。</w:t>
      </w:r>
    </w:p>
    <w:tbl>
      <w:tblPr>
        <w:tblStyle w:val="34"/>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7"/>
      </w:tblGrid>
      <w:tr w14:paraId="5A2C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8" w:hRule="atLeast"/>
          <w:jc w:val="center"/>
        </w:trPr>
        <w:tc>
          <w:tcPr>
            <w:tcW w:w="9627" w:type="dxa"/>
            <w:vAlign w:val="center"/>
          </w:tcPr>
          <w:p w14:paraId="55E86AA0">
            <w:pPr>
              <w:spacing w:before="240" w:beforeLines="100" w:after="240" w:afterLines="100" w:line="600" w:lineRule="exact"/>
              <w:jc w:val="center"/>
              <w:rPr>
                <w:rFonts w:ascii="宋体" w:hAnsi="宋体" w:cs="宋体"/>
                <w:i w:val="0"/>
                <w:iCs w:val="0"/>
                <w:color w:val="auto"/>
                <w:sz w:val="24"/>
                <w:szCs w:val="24"/>
                <w:highlight w:val="none"/>
              </w:rPr>
            </w:pPr>
            <w:bookmarkStart w:id="283" w:name="_Toc26620"/>
            <w:bookmarkEnd w:id="283"/>
            <w:bookmarkStart w:id="284" w:name="_Toc19510"/>
            <w:r>
              <w:rPr>
                <w:rFonts w:hint="eastAsia" w:ascii="宋体" w:hAnsi="宋体" w:cs="宋体"/>
                <w:i w:val="0"/>
                <w:iCs w:val="0"/>
                <w:color w:val="auto"/>
                <w:sz w:val="24"/>
                <w:szCs w:val="24"/>
                <w:highlight w:val="none"/>
              </w:rPr>
              <w:t>委托代理人身份证正反面</w:t>
            </w:r>
          </w:p>
        </w:tc>
      </w:tr>
    </w:tbl>
    <w:p w14:paraId="4746A58A">
      <w:pPr>
        <w:spacing w:line="240" w:lineRule="exact"/>
        <w:rPr>
          <w:rFonts w:ascii="宋体" w:hAnsi="宋体" w:cs="宋体"/>
          <w:i w:val="0"/>
          <w:iCs w:val="0"/>
          <w:color w:val="auto"/>
          <w:sz w:val="28"/>
          <w:szCs w:val="28"/>
          <w:highlight w:val="none"/>
        </w:rPr>
      </w:pPr>
    </w:p>
    <w:p w14:paraId="1C1CFF13">
      <w:pPr>
        <w:bidi w:val="0"/>
        <w:jc w:val="left"/>
        <w:rPr>
          <w:rFonts w:ascii="宋体" w:hAnsi="宋体" w:cs="宋体"/>
          <w:i w:val="0"/>
          <w:iCs w:val="0"/>
          <w:color w:val="auto"/>
          <w:highlight w:val="none"/>
        </w:rPr>
      </w:pPr>
      <w:r>
        <w:rPr>
          <w:rFonts w:hint="eastAsia" w:ascii="宋体" w:hAnsi="宋体" w:cs="宋体"/>
          <w:i w:val="0"/>
          <w:iCs w:val="0"/>
          <w:color w:val="auto"/>
          <w:highlight w:val="none"/>
        </w:rPr>
        <w:br w:type="page"/>
      </w:r>
      <w:bookmarkStart w:id="285" w:name="_Toc295"/>
      <w:bookmarkStart w:id="286" w:name="_Toc21675"/>
      <w:r>
        <w:rPr>
          <w:rFonts w:hint="eastAsia"/>
          <w:b/>
          <w:bCs/>
          <w:sz w:val="30"/>
          <w:szCs w:val="30"/>
          <w:lang w:val="en-US" w:eastAsia="zh-CN"/>
        </w:rPr>
        <w:t>格式5：</w:t>
      </w:r>
      <w:bookmarkEnd w:id="285"/>
      <w:bookmarkEnd w:id="286"/>
    </w:p>
    <w:p w14:paraId="7D6E1027">
      <w:pPr>
        <w:rPr>
          <w:rFonts w:ascii="宋体" w:hAnsi="宋体" w:cs="宋体"/>
          <w:i w:val="0"/>
          <w:iCs w:val="0"/>
          <w:color w:val="auto"/>
          <w:highlight w:val="none"/>
        </w:rPr>
      </w:pPr>
    </w:p>
    <w:p w14:paraId="71D7FD2B">
      <w:pPr>
        <w:bidi w:val="0"/>
        <w:jc w:val="center"/>
        <w:rPr>
          <w:rFonts w:hint="eastAsia"/>
          <w:b/>
          <w:bCs/>
          <w:sz w:val="28"/>
          <w:szCs w:val="28"/>
          <w:lang w:val="en-US" w:eastAsia="zh-CN"/>
        </w:rPr>
      </w:pPr>
      <w:bookmarkStart w:id="287" w:name="_Toc27273"/>
      <w:bookmarkStart w:id="288" w:name="_Toc28670"/>
      <w:r>
        <w:rPr>
          <w:rFonts w:hint="eastAsia"/>
          <w:b/>
          <w:bCs/>
          <w:sz w:val="28"/>
          <w:szCs w:val="28"/>
          <w:lang w:val="en-US" w:eastAsia="zh-CN"/>
        </w:rPr>
        <w:t>投标人基本情况表</w:t>
      </w:r>
      <w:bookmarkEnd w:id="284"/>
      <w:bookmarkEnd w:id="287"/>
      <w:bookmarkEnd w:id="288"/>
    </w:p>
    <w:p w14:paraId="20C0E91B">
      <w:pPr>
        <w:rPr>
          <w:rFonts w:ascii="宋体" w:hAnsi="宋体" w:cs="宋体"/>
          <w:i w:val="0"/>
          <w:iCs w:val="0"/>
          <w:color w:val="auto"/>
          <w:highlight w:val="none"/>
        </w:rPr>
      </w:pPr>
    </w:p>
    <w:tbl>
      <w:tblPr>
        <w:tblStyle w:val="34"/>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9"/>
        <w:gridCol w:w="1350"/>
        <w:gridCol w:w="2721"/>
        <w:gridCol w:w="1404"/>
        <w:gridCol w:w="1982"/>
      </w:tblGrid>
      <w:tr w14:paraId="3B6C8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E901BAD">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投标人名称</w:t>
            </w:r>
          </w:p>
        </w:tc>
        <w:tc>
          <w:tcPr>
            <w:tcW w:w="7457" w:type="dxa"/>
            <w:gridSpan w:val="4"/>
            <w:tcBorders>
              <w:top w:val="single" w:color="auto" w:sz="4" w:space="0"/>
              <w:left w:val="nil"/>
              <w:bottom w:val="single" w:color="auto" w:sz="4" w:space="0"/>
              <w:right w:val="single" w:color="auto" w:sz="4" w:space="0"/>
            </w:tcBorders>
            <w:vAlign w:val="center"/>
          </w:tcPr>
          <w:p w14:paraId="7C8689D4">
            <w:pPr>
              <w:spacing w:line="440" w:lineRule="exact"/>
              <w:jc w:val="center"/>
              <w:rPr>
                <w:rFonts w:ascii="宋体" w:hAnsi="宋体" w:cs="宋体"/>
                <w:i w:val="0"/>
                <w:iCs w:val="0"/>
                <w:color w:val="auto"/>
                <w:sz w:val="24"/>
                <w:szCs w:val="24"/>
                <w:highlight w:val="none"/>
              </w:rPr>
            </w:pPr>
          </w:p>
        </w:tc>
      </w:tr>
      <w:tr w14:paraId="5A0C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5CB649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注册资金</w:t>
            </w:r>
          </w:p>
        </w:tc>
        <w:tc>
          <w:tcPr>
            <w:tcW w:w="4071" w:type="dxa"/>
            <w:gridSpan w:val="2"/>
            <w:tcBorders>
              <w:top w:val="single" w:color="auto" w:sz="4" w:space="0"/>
              <w:left w:val="nil"/>
              <w:bottom w:val="single" w:color="auto" w:sz="4" w:space="0"/>
              <w:right w:val="single" w:color="auto" w:sz="4" w:space="0"/>
            </w:tcBorders>
            <w:vAlign w:val="center"/>
          </w:tcPr>
          <w:p w14:paraId="2793A9C0">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2737BAC5">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成立时间</w:t>
            </w:r>
          </w:p>
        </w:tc>
        <w:tc>
          <w:tcPr>
            <w:tcW w:w="1982" w:type="dxa"/>
            <w:tcBorders>
              <w:top w:val="single" w:color="auto" w:sz="4" w:space="0"/>
              <w:left w:val="nil"/>
              <w:bottom w:val="single" w:color="auto" w:sz="4" w:space="0"/>
              <w:right w:val="single" w:color="auto" w:sz="4" w:space="0"/>
            </w:tcBorders>
            <w:vAlign w:val="center"/>
          </w:tcPr>
          <w:p w14:paraId="77997224">
            <w:pPr>
              <w:spacing w:line="440" w:lineRule="exact"/>
              <w:jc w:val="center"/>
              <w:rPr>
                <w:rFonts w:ascii="宋体" w:hAnsi="宋体" w:cs="宋体"/>
                <w:i w:val="0"/>
                <w:iCs w:val="0"/>
                <w:color w:val="auto"/>
                <w:sz w:val="24"/>
                <w:szCs w:val="24"/>
                <w:highlight w:val="none"/>
              </w:rPr>
            </w:pPr>
          </w:p>
        </w:tc>
      </w:tr>
      <w:tr w14:paraId="4303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63D7E52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注册地址</w:t>
            </w:r>
          </w:p>
        </w:tc>
        <w:tc>
          <w:tcPr>
            <w:tcW w:w="7457" w:type="dxa"/>
            <w:gridSpan w:val="4"/>
            <w:tcBorders>
              <w:top w:val="single" w:color="auto" w:sz="4" w:space="0"/>
              <w:left w:val="nil"/>
              <w:bottom w:val="single" w:color="auto" w:sz="4" w:space="0"/>
              <w:right w:val="single" w:color="auto" w:sz="4" w:space="0"/>
            </w:tcBorders>
            <w:vAlign w:val="center"/>
          </w:tcPr>
          <w:p w14:paraId="0FEC5F85">
            <w:pPr>
              <w:spacing w:line="440" w:lineRule="exact"/>
              <w:jc w:val="center"/>
              <w:rPr>
                <w:rFonts w:ascii="宋体" w:hAnsi="宋体" w:cs="宋体"/>
                <w:i w:val="0"/>
                <w:iCs w:val="0"/>
                <w:color w:val="auto"/>
                <w:sz w:val="24"/>
                <w:szCs w:val="24"/>
                <w:highlight w:val="none"/>
              </w:rPr>
            </w:pPr>
          </w:p>
        </w:tc>
      </w:tr>
      <w:tr w14:paraId="10DEE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068B2E18">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邮政编码</w:t>
            </w:r>
          </w:p>
        </w:tc>
        <w:tc>
          <w:tcPr>
            <w:tcW w:w="4071" w:type="dxa"/>
            <w:gridSpan w:val="2"/>
            <w:tcBorders>
              <w:top w:val="single" w:color="auto" w:sz="4" w:space="0"/>
              <w:left w:val="nil"/>
              <w:bottom w:val="single" w:color="auto" w:sz="4" w:space="0"/>
              <w:right w:val="single" w:color="auto" w:sz="4" w:space="0"/>
            </w:tcBorders>
            <w:vAlign w:val="center"/>
          </w:tcPr>
          <w:p w14:paraId="6BDBE7D1">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73A24CB4">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员工总数</w:t>
            </w:r>
          </w:p>
        </w:tc>
        <w:tc>
          <w:tcPr>
            <w:tcW w:w="1982" w:type="dxa"/>
            <w:tcBorders>
              <w:top w:val="single" w:color="auto" w:sz="4" w:space="0"/>
              <w:left w:val="nil"/>
              <w:bottom w:val="single" w:color="auto" w:sz="4" w:space="0"/>
              <w:right w:val="single" w:color="auto" w:sz="4" w:space="0"/>
            </w:tcBorders>
            <w:vAlign w:val="center"/>
          </w:tcPr>
          <w:p w14:paraId="5ABB90ED">
            <w:pPr>
              <w:spacing w:line="440" w:lineRule="exact"/>
              <w:jc w:val="center"/>
              <w:rPr>
                <w:rFonts w:ascii="宋体" w:hAnsi="宋体" w:cs="宋体"/>
                <w:i w:val="0"/>
                <w:iCs w:val="0"/>
                <w:color w:val="auto"/>
                <w:sz w:val="24"/>
                <w:szCs w:val="24"/>
                <w:highlight w:val="none"/>
              </w:rPr>
            </w:pPr>
          </w:p>
        </w:tc>
      </w:tr>
      <w:tr w14:paraId="1674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449" w:type="dxa"/>
            <w:vMerge w:val="restart"/>
            <w:tcBorders>
              <w:top w:val="nil"/>
              <w:left w:val="single" w:color="auto" w:sz="4" w:space="0"/>
              <w:bottom w:val="single" w:color="auto" w:sz="4" w:space="0"/>
              <w:right w:val="single" w:color="auto" w:sz="4" w:space="0"/>
            </w:tcBorders>
            <w:vAlign w:val="center"/>
          </w:tcPr>
          <w:p w14:paraId="6CAA4549">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联系方式</w:t>
            </w:r>
          </w:p>
        </w:tc>
        <w:tc>
          <w:tcPr>
            <w:tcW w:w="1350" w:type="dxa"/>
            <w:tcBorders>
              <w:top w:val="single" w:color="auto" w:sz="4" w:space="0"/>
              <w:left w:val="nil"/>
              <w:bottom w:val="single" w:color="auto" w:sz="4" w:space="0"/>
              <w:right w:val="single" w:color="auto" w:sz="4" w:space="0"/>
            </w:tcBorders>
            <w:vAlign w:val="center"/>
          </w:tcPr>
          <w:p w14:paraId="75A675E7">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联系人</w:t>
            </w:r>
          </w:p>
        </w:tc>
        <w:tc>
          <w:tcPr>
            <w:tcW w:w="2721" w:type="dxa"/>
            <w:tcBorders>
              <w:top w:val="single" w:color="auto" w:sz="4" w:space="0"/>
              <w:left w:val="nil"/>
              <w:bottom w:val="single" w:color="auto" w:sz="4" w:space="0"/>
              <w:right w:val="single" w:color="auto" w:sz="4" w:space="0"/>
            </w:tcBorders>
            <w:vAlign w:val="center"/>
          </w:tcPr>
          <w:p w14:paraId="619BCDD7">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3B3587FC">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电话</w:t>
            </w:r>
          </w:p>
        </w:tc>
        <w:tc>
          <w:tcPr>
            <w:tcW w:w="1982" w:type="dxa"/>
            <w:tcBorders>
              <w:top w:val="single" w:color="auto" w:sz="4" w:space="0"/>
              <w:left w:val="nil"/>
              <w:bottom w:val="single" w:color="auto" w:sz="4" w:space="0"/>
              <w:right w:val="single" w:color="auto" w:sz="4" w:space="0"/>
            </w:tcBorders>
            <w:vAlign w:val="center"/>
          </w:tcPr>
          <w:p w14:paraId="51369E30">
            <w:pPr>
              <w:spacing w:line="440" w:lineRule="exact"/>
              <w:jc w:val="center"/>
              <w:rPr>
                <w:rFonts w:ascii="宋体" w:hAnsi="宋体" w:cs="宋体"/>
                <w:i w:val="0"/>
                <w:iCs w:val="0"/>
                <w:color w:val="auto"/>
                <w:sz w:val="24"/>
                <w:szCs w:val="24"/>
                <w:highlight w:val="none"/>
              </w:rPr>
            </w:pPr>
          </w:p>
        </w:tc>
      </w:tr>
      <w:tr w14:paraId="6B8F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449" w:type="dxa"/>
            <w:vMerge w:val="continue"/>
            <w:tcBorders>
              <w:top w:val="nil"/>
              <w:left w:val="single" w:color="auto" w:sz="4" w:space="0"/>
              <w:bottom w:val="single" w:color="auto" w:sz="4" w:space="0"/>
              <w:right w:val="single" w:color="auto" w:sz="4" w:space="0"/>
            </w:tcBorders>
            <w:vAlign w:val="center"/>
          </w:tcPr>
          <w:p w14:paraId="5A7C7A79">
            <w:pPr>
              <w:widowControl w:val="0"/>
              <w:jc w:val="both"/>
              <w:rPr>
                <w:rFonts w:ascii="宋体" w:hAnsi="宋体" w:cs="宋体"/>
                <w:i w:val="0"/>
                <w:iCs w:val="0"/>
                <w:color w:val="auto"/>
                <w:kern w:val="2"/>
                <w:sz w:val="24"/>
                <w:szCs w:val="24"/>
                <w:highlight w:val="none"/>
              </w:rPr>
            </w:pPr>
          </w:p>
        </w:tc>
        <w:tc>
          <w:tcPr>
            <w:tcW w:w="1350" w:type="dxa"/>
            <w:tcBorders>
              <w:top w:val="single" w:color="auto" w:sz="4" w:space="0"/>
              <w:left w:val="nil"/>
              <w:bottom w:val="single" w:color="auto" w:sz="4" w:space="0"/>
              <w:right w:val="single" w:color="auto" w:sz="4" w:space="0"/>
            </w:tcBorders>
            <w:vAlign w:val="center"/>
          </w:tcPr>
          <w:p w14:paraId="73A76661">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网址</w:t>
            </w:r>
          </w:p>
        </w:tc>
        <w:tc>
          <w:tcPr>
            <w:tcW w:w="2721" w:type="dxa"/>
            <w:tcBorders>
              <w:top w:val="single" w:color="auto" w:sz="4" w:space="0"/>
              <w:left w:val="nil"/>
              <w:bottom w:val="single" w:color="auto" w:sz="4" w:space="0"/>
              <w:right w:val="single" w:color="auto" w:sz="4" w:space="0"/>
            </w:tcBorders>
            <w:vAlign w:val="center"/>
          </w:tcPr>
          <w:p w14:paraId="368D01D1">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133ED1F2">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传真</w:t>
            </w:r>
          </w:p>
        </w:tc>
        <w:tc>
          <w:tcPr>
            <w:tcW w:w="1982" w:type="dxa"/>
            <w:tcBorders>
              <w:top w:val="single" w:color="auto" w:sz="4" w:space="0"/>
              <w:left w:val="nil"/>
              <w:bottom w:val="single" w:color="auto" w:sz="4" w:space="0"/>
              <w:right w:val="single" w:color="auto" w:sz="4" w:space="0"/>
            </w:tcBorders>
            <w:vAlign w:val="center"/>
          </w:tcPr>
          <w:p w14:paraId="688B6081">
            <w:pPr>
              <w:spacing w:line="440" w:lineRule="exact"/>
              <w:jc w:val="center"/>
              <w:rPr>
                <w:rFonts w:ascii="宋体" w:hAnsi="宋体" w:cs="宋体"/>
                <w:i w:val="0"/>
                <w:iCs w:val="0"/>
                <w:color w:val="auto"/>
                <w:sz w:val="24"/>
                <w:szCs w:val="24"/>
                <w:highlight w:val="none"/>
              </w:rPr>
            </w:pPr>
          </w:p>
        </w:tc>
      </w:tr>
      <w:tr w14:paraId="1899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E625E69">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w:t>
            </w:r>
          </w:p>
          <w:p w14:paraId="2EE97B1D">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(单位负责人)</w:t>
            </w:r>
          </w:p>
        </w:tc>
        <w:tc>
          <w:tcPr>
            <w:tcW w:w="1350" w:type="dxa"/>
            <w:tcBorders>
              <w:top w:val="single" w:color="auto" w:sz="4" w:space="0"/>
              <w:left w:val="nil"/>
              <w:bottom w:val="single" w:color="auto" w:sz="4" w:space="0"/>
              <w:right w:val="single" w:color="auto" w:sz="4" w:space="0"/>
            </w:tcBorders>
            <w:vAlign w:val="center"/>
          </w:tcPr>
          <w:p w14:paraId="7D660435">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姓名</w:t>
            </w:r>
          </w:p>
        </w:tc>
        <w:tc>
          <w:tcPr>
            <w:tcW w:w="2721" w:type="dxa"/>
            <w:tcBorders>
              <w:top w:val="single" w:color="auto" w:sz="4" w:space="0"/>
              <w:left w:val="nil"/>
              <w:bottom w:val="single" w:color="auto" w:sz="4" w:space="0"/>
              <w:right w:val="single" w:color="auto" w:sz="4" w:space="0"/>
            </w:tcBorders>
            <w:vAlign w:val="center"/>
          </w:tcPr>
          <w:p w14:paraId="5B0EACEB">
            <w:pPr>
              <w:spacing w:line="440" w:lineRule="exact"/>
              <w:jc w:val="center"/>
              <w:rPr>
                <w:rFonts w:ascii="宋体" w:hAnsi="宋体" w:cs="宋体"/>
                <w:i w:val="0"/>
                <w:iCs w:val="0"/>
                <w:color w:val="auto"/>
                <w:sz w:val="24"/>
                <w:szCs w:val="24"/>
                <w:highlight w:val="none"/>
              </w:rPr>
            </w:pPr>
          </w:p>
        </w:tc>
        <w:tc>
          <w:tcPr>
            <w:tcW w:w="1404" w:type="dxa"/>
            <w:tcBorders>
              <w:top w:val="single" w:color="auto" w:sz="4" w:space="0"/>
              <w:left w:val="nil"/>
              <w:bottom w:val="single" w:color="auto" w:sz="4" w:space="0"/>
              <w:right w:val="single" w:color="auto" w:sz="4" w:space="0"/>
            </w:tcBorders>
            <w:vAlign w:val="center"/>
          </w:tcPr>
          <w:p w14:paraId="01048661">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电话</w:t>
            </w:r>
          </w:p>
        </w:tc>
        <w:tc>
          <w:tcPr>
            <w:tcW w:w="1982" w:type="dxa"/>
            <w:tcBorders>
              <w:top w:val="single" w:color="auto" w:sz="4" w:space="0"/>
              <w:left w:val="nil"/>
              <w:bottom w:val="single" w:color="auto" w:sz="4" w:space="0"/>
              <w:right w:val="single" w:color="auto" w:sz="4" w:space="0"/>
            </w:tcBorders>
            <w:vAlign w:val="center"/>
          </w:tcPr>
          <w:p w14:paraId="0464C240">
            <w:pPr>
              <w:spacing w:line="440" w:lineRule="exact"/>
              <w:jc w:val="center"/>
              <w:rPr>
                <w:rFonts w:ascii="宋体" w:hAnsi="宋体" w:cs="宋体"/>
                <w:i w:val="0"/>
                <w:iCs w:val="0"/>
                <w:color w:val="auto"/>
                <w:sz w:val="24"/>
                <w:szCs w:val="24"/>
                <w:highlight w:val="none"/>
              </w:rPr>
            </w:pPr>
          </w:p>
        </w:tc>
      </w:tr>
      <w:tr w14:paraId="47517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594BAC1F">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投标人须知要求投标人需具有的各类资质证书(若有)</w:t>
            </w:r>
          </w:p>
        </w:tc>
        <w:tc>
          <w:tcPr>
            <w:tcW w:w="7457" w:type="dxa"/>
            <w:gridSpan w:val="4"/>
            <w:tcBorders>
              <w:top w:val="single" w:color="auto" w:sz="4" w:space="0"/>
              <w:left w:val="nil"/>
              <w:bottom w:val="single" w:color="auto" w:sz="4" w:space="0"/>
              <w:right w:val="single" w:color="auto" w:sz="4" w:space="0"/>
            </w:tcBorders>
            <w:vAlign w:val="center"/>
          </w:tcPr>
          <w:p w14:paraId="54323B2A">
            <w:pPr>
              <w:spacing w:line="440" w:lineRule="exact"/>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类型：                等级：                 证书号：</w:t>
            </w:r>
          </w:p>
        </w:tc>
      </w:tr>
      <w:tr w14:paraId="2D454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1120F9EE">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基本账户开户银行</w:t>
            </w:r>
          </w:p>
        </w:tc>
        <w:tc>
          <w:tcPr>
            <w:tcW w:w="7457" w:type="dxa"/>
            <w:gridSpan w:val="4"/>
            <w:tcBorders>
              <w:top w:val="single" w:color="auto" w:sz="4" w:space="0"/>
              <w:left w:val="nil"/>
              <w:bottom w:val="single" w:color="auto" w:sz="4" w:space="0"/>
              <w:right w:val="single" w:color="auto" w:sz="4" w:space="0"/>
            </w:tcBorders>
            <w:vAlign w:val="center"/>
          </w:tcPr>
          <w:p w14:paraId="3172E6A4">
            <w:pPr>
              <w:spacing w:line="440" w:lineRule="exact"/>
              <w:jc w:val="center"/>
              <w:rPr>
                <w:rFonts w:ascii="宋体" w:hAnsi="宋体" w:cs="宋体"/>
                <w:i w:val="0"/>
                <w:iCs w:val="0"/>
                <w:color w:val="auto"/>
                <w:sz w:val="24"/>
                <w:szCs w:val="24"/>
                <w:highlight w:val="none"/>
              </w:rPr>
            </w:pPr>
          </w:p>
        </w:tc>
      </w:tr>
      <w:tr w14:paraId="5942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721E062C">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基本账户银行账号</w:t>
            </w:r>
          </w:p>
        </w:tc>
        <w:tc>
          <w:tcPr>
            <w:tcW w:w="7457" w:type="dxa"/>
            <w:gridSpan w:val="4"/>
            <w:tcBorders>
              <w:top w:val="single" w:color="auto" w:sz="4" w:space="0"/>
              <w:left w:val="nil"/>
              <w:bottom w:val="single" w:color="auto" w:sz="4" w:space="0"/>
              <w:right w:val="single" w:color="auto" w:sz="4" w:space="0"/>
            </w:tcBorders>
            <w:vAlign w:val="center"/>
          </w:tcPr>
          <w:p w14:paraId="50AC02E7">
            <w:pPr>
              <w:spacing w:line="440" w:lineRule="exact"/>
              <w:jc w:val="center"/>
              <w:rPr>
                <w:rFonts w:ascii="宋体" w:hAnsi="宋体" w:cs="宋体"/>
                <w:i w:val="0"/>
                <w:iCs w:val="0"/>
                <w:color w:val="auto"/>
                <w:sz w:val="24"/>
                <w:szCs w:val="24"/>
                <w:highlight w:val="none"/>
              </w:rPr>
            </w:pPr>
          </w:p>
        </w:tc>
      </w:tr>
      <w:tr w14:paraId="2F5E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54217808">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投标人关联企业情况(包括但不限于与投标人法定代表人(单位负责人)为同一人或者存在控股、管理关系的不同单位)</w:t>
            </w:r>
          </w:p>
        </w:tc>
        <w:tc>
          <w:tcPr>
            <w:tcW w:w="7457" w:type="dxa"/>
            <w:gridSpan w:val="4"/>
            <w:tcBorders>
              <w:top w:val="single" w:color="auto" w:sz="4" w:space="0"/>
              <w:left w:val="nil"/>
              <w:bottom w:val="single" w:color="auto" w:sz="4" w:space="0"/>
              <w:right w:val="single" w:color="auto" w:sz="4" w:space="0"/>
            </w:tcBorders>
            <w:vAlign w:val="center"/>
          </w:tcPr>
          <w:p w14:paraId="0A1B008B">
            <w:pPr>
              <w:spacing w:line="440" w:lineRule="exact"/>
              <w:jc w:val="center"/>
              <w:rPr>
                <w:rFonts w:ascii="宋体" w:hAnsi="宋体" w:cs="宋体"/>
                <w:i w:val="0"/>
                <w:iCs w:val="0"/>
                <w:color w:val="auto"/>
                <w:sz w:val="24"/>
                <w:szCs w:val="24"/>
                <w:highlight w:val="none"/>
              </w:rPr>
            </w:pPr>
          </w:p>
        </w:tc>
      </w:tr>
      <w:tr w14:paraId="600B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449" w:type="dxa"/>
            <w:tcBorders>
              <w:top w:val="single" w:color="auto" w:sz="4" w:space="0"/>
              <w:left w:val="single" w:color="auto" w:sz="4" w:space="0"/>
              <w:bottom w:val="single" w:color="auto" w:sz="4" w:space="0"/>
              <w:right w:val="single" w:color="auto" w:sz="4" w:space="0"/>
            </w:tcBorders>
            <w:vAlign w:val="center"/>
          </w:tcPr>
          <w:p w14:paraId="30D2BDBF">
            <w:pPr>
              <w:spacing w:line="440" w:lineRule="exact"/>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备注</w:t>
            </w:r>
          </w:p>
        </w:tc>
        <w:tc>
          <w:tcPr>
            <w:tcW w:w="7457" w:type="dxa"/>
            <w:gridSpan w:val="4"/>
            <w:tcBorders>
              <w:top w:val="single" w:color="auto" w:sz="4" w:space="0"/>
              <w:left w:val="nil"/>
              <w:bottom w:val="single" w:color="auto" w:sz="4" w:space="0"/>
              <w:right w:val="single" w:color="auto" w:sz="4" w:space="0"/>
            </w:tcBorders>
            <w:vAlign w:val="center"/>
          </w:tcPr>
          <w:p w14:paraId="5F18D241">
            <w:pPr>
              <w:spacing w:line="440" w:lineRule="exact"/>
              <w:jc w:val="center"/>
              <w:rPr>
                <w:rFonts w:ascii="宋体" w:hAnsi="宋体" w:cs="宋体"/>
                <w:i w:val="0"/>
                <w:iCs w:val="0"/>
                <w:color w:val="auto"/>
                <w:sz w:val="24"/>
                <w:szCs w:val="24"/>
                <w:highlight w:val="none"/>
              </w:rPr>
            </w:pPr>
          </w:p>
        </w:tc>
      </w:tr>
    </w:tbl>
    <w:p w14:paraId="01CE2F50">
      <w:pPr>
        <w:spacing w:line="240" w:lineRule="exact"/>
        <w:rPr>
          <w:rFonts w:ascii="宋体" w:hAnsi="宋体" w:cs="宋体"/>
          <w:i w:val="0"/>
          <w:iCs w:val="0"/>
          <w:color w:val="auto"/>
          <w:sz w:val="24"/>
          <w:szCs w:val="24"/>
          <w:highlight w:val="none"/>
        </w:rPr>
      </w:pPr>
    </w:p>
    <w:p w14:paraId="781BB2C4">
      <w:pPr>
        <w:spacing w:line="360" w:lineRule="auto"/>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注：投标人应根据</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要求在本表后附相关证明材料，如营业执照、资质证书(若有)、开户许可证或基本存款账户信息等。</w:t>
      </w:r>
    </w:p>
    <w:p w14:paraId="28916B75">
      <w:pPr>
        <w:bidi w:val="0"/>
        <w:jc w:val="left"/>
        <w:rPr>
          <w:rFonts w:hint="eastAsia"/>
          <w:b/>
          <w:bCs/>
          <w:sz w:val="30"/>
          <w:szCs w:val="30"/>
          <w:lang w:val="en-US" w:eastAsia="zh-CN"/>
        </w:rPr>
      </w:pPr>
      <w:bookmarkStart w:id="289" w:name="_Toc25271"/>
      <w:bookmarkEnd w:id="289"/>
      <w:bookmarkStart w:id="290" w:name="_Toc23543"/>
      <w:bookmarkEnd w:id="290"/>
      <w:bookmarkStart w:id="291" w:name="_Toc25087"/>
      <w:r>
        <w:rPr>
          <w:rFonts w:hint="eastAsia" w:ascii="宋体" w:hAnsi="宋体" w:cs="宋体"/>
          <w:i w:val="0"/>
          <w:iCs w:val="0"/>
          <w:color w:val="auto"/>
          <w:highlight w:val="none"/>
        </w:rPr>
        <w:br w:type="page"/>
      </w:r>
      <w:bookmarkStart w:id="292" w:name="_Toc11536"/>
      <w:bookmarkStart w:id="293" w:name="_Toc31663"/>
      <w:r>
        <w:rPr>
          <w:rFonts w:hint="eastAsia"/>
          <w:b/>
          <w:bCs/>
          <w:sz w:val="30"/>
          <w:szCs w:val="30"/>
          <w:lang w:val="en-US" w:eastAsia="zh-CN"/>
        </w:rPr>
        <w:t>格式6：</w:t>
      </w:r>
      <w:bookmarkEnd w:id="292"/>
      <w:bookmarkEnd w:id="293"/>
    </w:p>
    <w:p w14:paraId="40EC3F7D">
      <w:pPr>
        <w:rPr>
          <w:rFonts w:ascii="宋体" w:hAnsi="宋体" w:cs="宋体"/>
          <w:i w:val="0"/>
          <w:iCs w:val="0"/>
          <w:color w:val="auto"/>
          <w:highlight w:val="none"/>
        </w:rPr>
      </w:pPr>
    </w:p>
    <w:p w14:paraId="7D9E5679">
      <w:pPr>
        <w:bidi w:val="0"/>
        <w:jc w:val="center"/>
        <w:rPr>
          <w:rFonts w:hint="eastAsia"/>
          <w:b/>
          <w:bCs/>
          <w:sz w:val="28"/>
          <w:szCs w:val="28"/>
          <w:lang w:val="en-US" w:eastAsia="zh-CN"/>
        </w:rPr>
      </w:pPr>
      <w:bookmarkStart w:id="294" w:name="_Toc24001"/>
      <w:bookmarkStart w:id="295" w:name="_Toc28423"/>
      <w:r>
        <w:rPr>
          <w:rFonts w:hint="eastAsia"/>
          <w:b/>
          <w:bCs/>
          <w:sz w:val="28"/>
          <w:szCs w:val="28"/>
          <w:lang w:val="en-US" w:eastAsia="zh-CN"/>
        </w:rPr>
        <w:t>商务、技术条款偏离表</w:t>
      </w:r>
      <w:bookmarkEnd w:id="291"/>
      <w:bookmarkEnd w:id="294"/>
      <w:bookmarkEnd w:id="295"/>
    </w:p>
    <w:p w14:paraId="545B47FC">
      <w:pPr>
        <w:bidi w:val="0"/>
        <w:jc w:val="center"/>
        <w:rPr>
          <w:rFonts w:hint="eastAsia"/>
          <w:b/>
          <w:bCs/>
          <w:sz w:val="28"/>
          <w:szCs w:val="28"/>
          <w:lang w:val="en-US" w:eastAsia="zh-CN"/>
        </w:rPr>
      </w:pPr>
      <w:r>
        <w:rPr>
          <w:rFonts w:hint="eastAsia"/>
          <w:b/>
          <w:bCs/>
          <w:sz w:val="28"/>
          <w:szCs w:val="28"/>
          <w:lang w:val="en-US" w:eastAsia="zh-CN"/>
        </w:rPr>
        <w:t>（一）商务条款偏离表</w:t>
      </w:r>
    </w:p>
    <w:p w14:paraId="12CE856C">
      <w:pPr>
        <w:rPr>
          <w:rFonts w:ascii="宋体" w:hAnsi="宋体" w:cs="宋体"/>
          <w:i w:val="0"/>
          <w:iCs w:val="0"/>
          <w:color w:val="auto"/>
          <w:highlight w:val="none"/>
        </w:rPr>
      </w:pPr>
    </w:p>
    <w:tbl>
      <w:tblPr>
        <w:tblStyle w:val="34"/>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925"/>
        <w:gridCol w:w="2500"/>
        <w:gridCol w:w="1770"/>
        <w:gridCol w:w="1600"/>
        <w:gridCol w:w="1241"/>
      </w:tblGrid>
      <w:tr w14:paraId="04C8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4CAFBA7E">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序 号</w:t>
            </w:r>
          </w:p>
        </w:tc>
        <w:tc>
          <w:tcPr>
            <w:tcW w:w="1925" w:type="dxa"/>
            <w:tcBorders>
              <w:top w:val="single" w:color="auto" w:sz="4" w:space="0"/>
              <w:left w:val="nil"/>
              <w:bottom w:val="single" w:color="auto" w:sz="4" w:space="0"/>
              <w:right w:val="single" w:color="auto" w:sz="4" w:space="0"/>
            </w:tcBorders>
            <w:vAlign w:val="center"/>
          </w:tcPr>
          <w:p w14:paraId="66A6A4FE">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lang w:eastAsia="zh-CN"/>
              </w:rPr>
              <w:t>招标文件</w:t>
            </w:r>
            <w:r>
              <w:rPr>
                <w:rFonts w:hint="eastAsia" w:ascii="宋体" w:hAnsi="宋体" w:cs="宋体"/>
                <w:b/>
                <w:bCs/>
                <w:i w:val="0"/>
                <w:iCs w:val="0"/>
                <w:color w:val="auto"/>
                <w:sz w:val="24"/>
                <w:szCs w:val="24"/>
                <w:highlight w:val="none"/>
              </w:rPr>
              <w:t>条款号</w:t>
            </w:r>
          </w:p>
        </w:tc>
        <w:tc>
          <w:tcPr>
            <w:tcW w:w="2500" w:type="dxa"/>
            <w:tcBorders>
              <w:top w:val="single" w:color="auto" w:sz="4" w:space="0"/>
              <w:left w:val="nil"/>
              <w:bottom w:val="single" w:color="auto" w:sz="4" w:space="0"/>
              <w:right w:val="single" w:color="auto" w:sz="4" w:space="0"/>
            </w:tcBorders>
            <w:vAlign w:val="center"/>
          </w:tcPr>
          <w:p w14:paraId="38BDA9B1">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lang w:eastAsia="zh-CN"/>
              </w:rPr>
              <w:t>招标文件</w:t>
            </w:r>
            <w:r>
              <w:rPr>
                <w:rFonts w:hint="eastAsia" w:ascii="宋体" w:hAnsi="宋体" w:cs="宋体"/>
                <w:b/>
                <w:bCs/>
                <w:i w:val="0"/>
                <w:iCs w:val="0"/>
                <w:color w:val="auto"/>
                <w:sz w:val="24"/>
                <w:szCs w:val="24"/>
                <w:highlight w:val="none"/>
              </w:rPr>
              <w:t>的商务条款内容</w:t>
            </w:r>
          </w:p>
        </w:tc>
        <w:tc>
          <w:tcPr>
            <w:tcW w:w="1770" w:type="dxa"/>
            <w:tcBorders>
              <w:top w:val="single" w:color="auto" w:sz="4" w:space="0"/>
              <w:left w:val="nil"/>
              <w:bottom w:val="single" w:color="auto" w:sz="4" w:space="0"/>
              <w:right w:val="single" w:color="auto" w:sz="4" w:space="0"/>
            </w:tcBorders>
            <w:vAlign w:val="center"/>
          </w:tcPr>
          <w:p w14:paraId="3E4A541D">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投标文件的商务条款响应情况</w:t>
            </w:r>
          </w:p>
        </w:tc>
        <w:tc>
          <w:tcPr>
            <w:tcW w:w="1600" w:type="dxa"/>
            <w:tcBorders>
              <w:top w:val="single" w:color="auto" w:sz="4" w:space="0"/>
              <w:left w:val="nil"/>
              <w:bottom w:val="single" w:color="auto" w:sz="4" w:space="0"/>
              <w:right w:val="single" w:color="auto" w:sz="4" w:space="0"/>
            </w:tcBorders>
            <w:vAlign w:val="center"/>
          </w:tcPr>
          <w:p w14:paraId="4EB19E42">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偏离情况</w:t>
            </w:r>
          </w:p>
        </w:tc>
        <w:tc>
          <w:tcPr>
            <w:tcW w:w="1241" w:type="dxa"/>
            <w:tcBorders>
              <w:top w:val="single" w:color="auto" w:sz="4" w:space="0"/>
              <w:left w:val="nil"/>
              <w:bottom w:val="single" w:color="auto" w:sz="4" w:space="0"/>
              <w:right w:val="single" w:color="auto" w:sz="4" w:space="0"/>
            </w:tcBorders>
            <w:vAlign w:val="center"/>
          </w:tcPr>
          <w:p w14:paraId="3FE3079C">
            <w:pPr>
              <w:jc w:val="center"/>
              <w:rPr>
                <w:rFonts w:ascii="宋体" w:hAnsi="宋体" w:cs="宋体"/>
                <w:b/>
                <w:bCs/>
                <w:i w:val="0"/>
                <w:iCs w:val="0"/>
                <w:color w:val="auto"/>
                <w:sz w:val="24"/>
                <w:szCs w:val="24"/>
                <w:highlight w:val="none"/>
              </w:rPr>
            </w:pPr>
            <w:r>
              <w:rPr>
                <w:rFonts w:hint="eastAsia" w:ascii="宋体" w:hAnsi="宋体" w:cs="宋体"/>
                <w:b/>
                <w:bCs/>
                <w:i w:val="0"/>
                <w:iCs w:val="0"/>
                <w:color w:val="auto"/>
                <w:sz w:val="24"/>
                <w:szCs w:val="24"/>
                <w:highlight w:val="none"/>
              </w:rPr>
              <w:t>说明</w:t>
            </w:r>
          </w:p>
        </w:tc>
      </w:tr>
      <w:tr w14:paraId="03060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68C3AF9B">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1</w:t>
            </w:r>
          </w:p>
        </w:tc>
        <w:tc>
          <w:tcPr>
            <w:tcW w:w="1925" w:type="dxa"/>
            <w:tcBorders>
              <w:top w:val="single" w:color="auto" w:sz="4" w:space="0"/>
              <w:left w:val="nil"/>
              <w:bottom w:val="single" w:color="auto" w:sz="4" w:space="0"/>
              <w:right w:val="single" w:color="auto" w:sz="4" w:space="0"/>
            </w:tcBorders>
            <w:vAlign w:val="center"/>
          </w:tcPr>
          <w:p w14:paraId="0CAB1F40">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“投标人须知前附表”第1.3.2款</w:t>
            </w:r>
          </w:p>
        </w:tc>
        <w:tc>
          <w:tcPr>
            <w:tcW w:w="2500" w:type="dxa"/>
            <w:tcBorders>
              <w:top w:val="single" w:color="auto" w:sz="4" w:space="0"/>
              <w:left w:val="nil"/>
              <w:bottom w:val="single" w:color="auto" w:sz="4" w:space="0"/>
              <w:right w:val="single" w:color="auto" w:sz="4" w:space="0"/>
            </w:tcBorders>
            <w:vAlign w:val="center"/>
          </w:tcPr>
          <w:p w14:paraId="15CCDB07">
            <w:pPr>
              <w:rPr>
                <w:rFonts w:hint="eastAsia" w:ascii="宋体" w:hAnsi="宋体" w:eastAsia="宋体" w:cs="宋体"/>
                <w:i w:val="0"/>
                <w:iCs w:val="0"/>
                <w:color w:val="auto"/>
                <w:sz w:val="24"/>
                <w:szCs w:val="24"/>
                <w:highlight w:val="none"/>
                <w:lang w:eastAsia="zh-CN"/>
              </w:rPr>
            </w:pPr>
            <w:r>
              <w:rPr>
                <w:rFonts w:hint="eastAsia" w:ascii="宋体" w:hAnsi="宋体" w:cs="宋体"/>
                <w:i w:val="0"/>
                <w:iCs w:val="0"/>
                <w:color w:val="auto"/>
                <w:kern w:val="2"/>
                <w:sz w:val="24"/>
                <w:szCs w:val="24"/>
                <w:highlight w:val="none"/>
                <w:lang w:eastAsia="zh-CN"/>
              </w:rPr>
              <w:t>交货期：</w:t>
            </w:r>
            <w:r>
              <w:rPr>
                <w:rFonts w:hint="eastAsia" w:ascii="宋体" w:hAnsi="宋体" w:cs="宋体"/>
                <w:i w:val="0"/>
                <w:iCs w:val="0"/>
                <w:color w:val="auto"/>
                <w:sz w:val="24"/>
                <w:szCs w:val="24"/>
                <w:highlight w:val="none"/>
                <w:lang w:val="en-US" w:eastAsia="zh-CN"/>
              </w:rPr>
              <w:t>3</w:t>
            </w:r>
            <w:r>
              <w:rPr>
                <w:rFonts w:hint="eastAsia" w:ascii="宋体" w:hAnsi="宋体" w:cs="宋体"/>
                <w:i w:val="0"/>
                <w:iCs w:val="0"/>
                <w:color w:val="auto"/>
                <w:sz w:val="24"/>
                <w:szCs w:val="24"/>
                <w:highlight w:val="none"/>
                <w:lang w:eastAsia="zh-CN"/>
              </w:rPr>
              <w:t>0天</w:t>
            </w:r>
          </w:p>
        </w:tc>
        <w:tc>
          <w:tcPr>
            <w:tcW w:w="1770" w:type="dxa"/>
            <w:tcBorders>
              <w:top w:val="single" w:color="auto" w:sz="4" w:space="0"/>
              <w:left w:val="nil"/>
              <w:bottom w:val="single" w:color="auto" w:sz="4" w:space="0"/>
              <w:right w:val="single" w:color="auto" w:sz="4" w:space="0"/>
            </w:tcBorders>
            <w:vAlign w:val="center"/>
          </w:tcPr>
          <w:p w14:paraId="39D2EFA1">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471E1B33">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71A74608">
            <w:pPr>
              <w:jc w:val="center"/>
              <w:rPr>
                <w:rFonts w:ascii="宋体" w:hAnsi="宋体" w:cs="宋体"/>
                <w:i w:val="0"/>
                <w:iCs w:val="0"/>
                <w:color w:val="auto"/>
                <w:sz w:val="24"/>
                <w:szCs w:val="24"/>
                <w:highlight w:val="none"/>
              </w:rPr>
            </w:pPr>
          </w:p>
        </w:tc>
      </w:tr>
      <w:tr w14:paraId="7FA3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58522830">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2</w:t>
            </w:r>
          </w:p>
        </w:tc>
        <w:tc>
          <w:tcPr>
            <w:tcW w:w="1925" w:type="dxa"/>
            <w:tcBorders>
              <w:top w:val="single" w:color="auto" w:sz="4" w:space="0"/>
              <w:left w:val="nil"/>
              <w:bottom w:val="single" w:color="auto" w:sz="4" w:space="0"/>
              <w:right w:val="single" w:color="auto" w:sz="4" w:space="0"/>
            </w:tcBorders>
            <w:vAlign w:val="center"/>
          </w:tcPr>
          <w:p w14:paraId="219F7869">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“投标人须知前附表”第1.3.3款</w:t>
            </w:r>
          </w:p>
        </w:tc>
        <w:tc>
          <w:tcPr>
            <w:tcW w:w="2500" w:type="dxa"/>
            <w:tcBorders>
              <w:top w:val="single" w:color="auto" w:sz="4" w:space="0"/>
              <w:left w:val="nil"/>
              <w:bottom w:val="single" w:color="auto" w:sz="4" w:space="0"/>
              <w:right w:val="single" w:color="auto" w:sz="4" w:space="0"/>
            </w:tcBorders>
            <w:vAlign w:val="center"/>
          </w:tcPr>
          <w:p w14:paraId="6E4892B0">
            <w:pPr>
              <w:jc w:val="center"/>
              <w:rPr>
                <w:rFonts w:hint="eastAsia"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eastAsia="zh-CN"/>
              </w:rPr>
              <w:t>交货地点</w:t>
            </w:r>
            <w:r>
              <w:rPr>
                <w:rFonts w:hint="eastAsia" w:ascii="宋体" w:hAnsi="宋体" w:cs="宋体"/>
                <w:i w:val="0"/>
                <w:iCs w:val="0"/>
                <w:color w:val="auto"/>
                <w:sz w:val="24"/>
                <w:szCs w:val="24"/>
                <w:highlight w:val="none"/>
              </w:rPr>
              <w:t>：</w:t>
            </w:r>
            <w:r>
              <w:rPr>
                <w:rFonts w:hint="eastAsia" w:ascii="宋体" w:hAnsi="宋体" w:cs="宋体"/>
                <w:i w:val="0"/>
                <w:iCs w:val="0"/>
                <w:color w:val="auto"/>
                <w:sz w:val="24"/>
                <w:highlight w:val="none"/>
                <w:lang w:eastAsia="zh-CN"/>
              </w:rPr>
              <w:t>云南</w:t>
            </w:r>
            <w:r>
              <w:rPr>
                <w:rFonts w:hint="eastAsia" w:ascii="宋体" w:hAnsi="宋体" w:cs="宋体"/>
                <w:i w:val="0"/>
                <w:iCs w:val="0"/>
                <w:color w:val="auto"/>
                <w:sz w:val="24"/>
                <w:highlight w:val="none"/>
                <w:lang w:val="en-US" w:eastAsia="zh-CN"/>
              </w:rPr>
              <w:t>省红河州第二人民医院（建水县泽园路28号）指定地点。</w:t>
            </w:r>
          </w:p>
        </w:tc>
        <w:tc>
          <w:tcPr>
            <w:tcW w:w="1770" w:type="dxa"/>
            <w:tcBorders>
              <w:top w:val="single" w:color="auto" w:sz="4" w:space="0"/>
              <w:left w:val="nil"/>
              <w:bottom w:val="single" w:color="auto" w:sz="4" w:space="0"/>
              <w:right w:val="single" w:color="auto" w:sz="4" w:space="0"/>
            </w:tcBorders>
            <w:vAlign w:val="center"/>
          </w:tcPr>
          <w:p w14:paraId="18B73512">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3A8541D0">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3B03AD55">
            <w:pPr>
              <w:jc w:val="center"/>
              <w:rPr>
                <w:rFonts w:ascii="宋体" w:hAnsi="宋体" w:cs="宋体"/>
                <w:i w:val="0"/>
                <w:iCs w:val="0"/>
                <w:color w:val="auto"/>
                <w:sz w:val="24"/>
                <w:szCs w:val="24"/>
                <w:highlight w:val="none"/>
              </w:rPr>
            </w:pPr>
          </w:p>
        </w:tc>
      </w:tr>
      <w:tr w14:paraId="7773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0" w:type="dxa"/>
            <w:tcBorders>
              <w:top w:val="single" w:color="auto" w:sz="4" w:space="0"/>
              <w:left w:val="single" w:color="auto" w:sz="4" w:space="0"/>
              <w:bottom w:val="single" w:color="auto" w:sz="4" w:space="0"/>
              <w:right w:val="single" w:color="auto" w:sz="4" w:space="0"/>
            </w:tcBorders>
            <w:vAlign w:val="center"/>
          </w:tcPr>
          <w:p w14:paraId="32A3D255">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3</w:t>
            </w:r>
          </w:p>
        </w:tc>
        <w:tc>
          <w:tcPr>
            <w:tcW w:w="1925" w:type="dxa"/>
            <w:tcBorders>
              <w:top w:val="single" w:color="auto" w:sz="4" w:space="0"/>
              <w:left w:val="nil"/>
              <w:bottom w:val="single" w:color="auto" w:sz="4" w:space="0"/>
              <w:right w:val="single" w:color="auto" w:sz="4" w:space="0"/>
            </w:tcBorders>
            <w:vAlign w:val="center"/>
          </w:tcPr>
          <w:p w14:paraId="5B19B564">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“投标人须知前附表”第3.3.1款</w:t>
            </w:r>
          </w:p>
        </w:tc>
        <w:tc>
          <w:tcPr>
            <w:tcW w:w="2500" w:type="dxa"/>
            <w:tcBorders>
              <w:top w:val="single" w:color="auto" w:sz="4" w:space="0"/>
              <w:left w:val="nil"/>
              <w:bottom w:val="single" w:color="auto" w:sz="4" w:space="0"/>
              <w:right w:val="single" w:color="auto" w:sz="4" w:space="0"/>
            </w:tcBorders>
            <w:vAlign w:val="center"/>
          </w:tcPr>
          <w:p w14:paraId="2A9BF30F">
            <w:pPr>
              <w:jc w:val="center"/>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投标有效期：</w:t>
            </w:r>
            <w:r>
              <w:rPr>
                <w:rFonts w:hint="eastAsia" w:ascii="宋体" w:hAnsi="宋体" w:cs="宋体"/>
                <w:i w:val="0"/>
                <w:iCs w:val="0"/>
                <w:color w:val="auto"/>
                <w:kern w:val="2"/>
                <w:sz w:val="24"/>
                <w:szCs w:val="24"/>
                <w:highlight w:val="none"/>
              </w:rPr>
              <w:t>90日历天(从递交投标文件的截止之日起算)</w:t>
            </w:r>
          </w:p>
        </w:tc>
        <w:tc>
          <w:tcPr>
            <w:tcW w:w="1770" w:type="dxa"/>
            <w:tcBorders>
              <w:top w:val="single" w:color="auto" w:sz="4" w:space="0"/>
              <w:left w:val="nil"/>
              <w:bottom w:val="single" w:color="auto" w:sz="4" w:space="0"/>
              <w:right w:val="single" w:color="auto" w:sz="4" w:space="0"/>
            </w:tcBorders>
            <w:vAlign w:val="center"/>
          </w:tcPr>
          <w:p w14:paraId="3C52ECFC">
            <w:pPr>
              <w:jc w:val="center"/>
              <w:rPr>
                <w:rFonts w:ascii="宋体" w:hAnsi="宋体" w:cs="宋体"/>
                <w:i w:val="0"/>
                <w:iCs w:val="0"/>
                <w:color w:val="auto"/>
                <w:sz w:val="24"/>
                <w:szCs w:val="24"/>
                <w:highlight w:val="none"/>
              </w:rPr>
            </w:pPr>
          </w:p>
        </w:tc>
        <w:tc>
          <w:tcPr>
            <w:tcW w:w="1600" w:type="dxa"/>
            <w:tcBorders>
              <w:top w:val="single" w:color="auto" w:sz="4" w:space="0"/>
              <w:left w:val="nil"/>
              <w:bottom w:val="single" w:color="auto" w:sz="4" w:space="0"/>
              <w:right w:val="single" w:color="auto" w:sz="4" w:space="0"/>
            </w:tcBorders>
            <w:vAlign w:val="center"/>
          </w:tcPr>
          <w:p w14:paraId="2955BFE9">
            <w:pPr>
              <w:jc w:val="center"/>
              <w:rPr>
                <w:rFonts w:ascii="宋体" w:hAnsi="宋体" w:cs="宋体"/>
                <w:i w:val="0"/>
                <w:iCs w:val="0"/>
                <w:color w:val="auto"/>
                <w:sz w:val="24"/>
                <w:szCs w:val="24"/>
                <w:highlight w:val="none"/>
              </w:rPr>
            </w:pPr>
          </w:p>
        </w:tc>
        <w:tc>
          <w:tcPr>
            <w:tcW w:w="1241" w:type="dxa"/>
            <w:tcBorders>
              <w:top w:val="single" w:color="auto" w:sz="4" w:space="0"/>
              <w:left w:val="nil"/>
              <w:bottom w:val="single" w:color="auto" w:sz="4" w:space="0"/>
              <w:right w:val="single" w:color="auto" w:sz="4" w:space="0"/>
            </w:tcBorders>
            <w:vAlign w:val="center"/>
          </w:tcPr>
          <w:p w14:paraId="25139582">
            <w:pPr>
              <w:jc w:val="center"/>
              <w:rPr>
                <w:rFonts w:ascii="宋体" w:hAnsi="宋体" w:cs="宋体"/>
                <w:i w:val="0"/>
                <w:iCs w:val="0"/>
                <w:color w:val="auto"/>
                <w:sz w:val="24"/>
                <w:szCs w:val="24"/>
                <w:highlight w:val="none"/>
              </w:rPr>
            </w:pPr>
          </w:p>
        </w:tc>
      </w:tr>
    </w:tbl>
    <w:p w14:paraId="18F6CAA2">
      <w:pPr>
        <w:rPr>
          <w:rFonts w:ascii="宋体" w:hAnsi="宋体" w:cs="宋体"/>
          <w:i w:val="0"/>
          <w:iCs w:val="0"/>
          <w:color w:val="auto"/>
          <w:sz w:val="24"/>
          <w:szCs w:val="24"/>
          <w:highlight w:val="none"/>
        </w:rPr>
      </w:pPr>
      <w:r>
        <w:rPr>
          <w:rFonts w:ascii="宋体" w:hAnsi="宋体" w:cs="宋体"/>
          <w:i w:val="0"/>
          <w:iCs w:val="0"/>
          <w:color w:val="auto"/>
          <w:sz w:val="24"/>
          <w:szCs w:val="24"/>
          <w:highlight w:val="none"/>
        </w:rPr>
        <w:br w:type="page"/>
      </w:r>
    </w:p>
    <w:p w14:paraId="590C1F98">
      <w:pPr>
        <w:bidi w:val="0"/>
        <w:jc w:val="center"/>
        <w:rPr>
          <w:rFonts w:hint="eastAsia"/>
          <w:b/>
          <w:bCs/>
          <w:sz w:val="28"/>
          <w:szCs w:val="28"/>
          <w:lang w:val="en-US" w:eastAsia="zh-CN"/>
        </w:rPr>
      </w:pPr>
      <w:r>
        <w:rPr>
          <w:rFonts w:hint="eastAsia"/>
          <w:b/>
          <w:bCs/>
          <w:sz w:val="28"/>
          <w:szCs w:val="28"/>
          <w:lang w:val="en-US" w:eastAsia="zh-CN"/>
        </w:rPr>
        <w:t>(二)技术规格偏离表</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912"/>
        <w:gridCol w:w="1839"/>
        <w:gridCol w:w="1593"/>
        <w:gridCol w:w="1500"/>
        <w:gridCol w:w="750"/>
        <w:gridCol w:w="975"/>
      </w:tblGrid>
      <w:tr w14:paraId="72AC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67" w:type="dxa"/>
            <w:noWrap w:val="0"/>
            <w:vAlign w:val="center"/>
          </w:tcPr>
          <w:p w14:paraId="18623A3A">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序号</w:t>
            </w:r>
          </w:p>
        </w:tc>
        <w:tc>
          <w:tcPr>
            <w:tcW w:w="1912" w:type="dxa"/>
            <w:noWrap w:val="0"/>
            <w:vAlign w:val="center"/>
          </w:tcPr>
          <w:p w14:paraId="6C773AC5">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货物名称</w:t>
            </w:r>
          </w:p>
        </w:tc>
        <w:tc>
          <w:tcPr>
            <w:tcW w:w="1839" w:type="dxa"/>
            <w:noWrap w:val="0"/>
            <w:vAlign w:val="center"/>
          </w:tcPr>
          <w:p w14:paraId="2976E1E7">
            <w:pPr>
              <w:spacing w:line="400" w:lineRule="exact"/>
              <w:jc w:val="center"/>
              <w:rPr>
                <w:rFonts w:hint="eastAsia" w:ascii="宋体" w:hAnsi="宋体" w:eastAsia="宋体" w:cs="宋体"/>
                <w:b/>
                <w:color w:val="000000"/>
                <w:sz w:val="24"/>
                <w:szCs w:val="24"/>
                <w:highlight w:val="none"/>
                <w:lang w:eastAsia="zh-CN"/>
              </w:rPr>
            </w:pPr>
            <w:r>
              <w:rPr>
                <w:rFonts w:hint="eastAsia" w:ascii="宋体" w:hAnsi="宋体" w:cs="宋体"/>
                <w:b/>
                <w:color w:val="000000"/>
                <w:sz w:val="24"/>
                <w:szCs w:val="24"/>
                <w:highlight w:val="none"/>
                <w:lang w:eastAsia="zh-CN"/>
              </w:rPr>
              <w:t>招标文件</w:t>
            </w:r>
          </w:p>
          <w:p w14:paraId="35F99932">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条款号</w:t>
            </w:r>
          </w:p>
        </w:tc>
        <w:tc>
          <w:tcPr>
            <w:tcW w:w="1593" w:type="dxa"/>
            <w:noWrap w:val="0"/>
            <w:vAlign w:val="center"/>
          </w:tcPr>
          <w:p w14:paraId="3C1551A1">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招标技术规格及要求</w:t>
            </w:r>
          </w:p>
        </w:tc>
        <w:tc>
          <w:tcPr>
            <w:tcW w:w="1500" w:type="dxa"/>
            <w:noWrap w:val="0"/>
            <w:vAlign w:val="center"/>
          </w:tcPr>
          <w:p w14:paraId="7ECEA367">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投标技术</w:t>
            </w:r>
          </w:p>
          <w:p w14:paraId="59FDCDA3">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规格及要求</w:t>
            </w:r>
          </w:p>
        </w:tc>
        <w:tc>
          <w:tcPr>
            <w:tcW w:w="750" w:type="dxa"/>
            <w:noWrap w:val="0"/>
            <w:vAlign w:val="center"/>
          </w:tcPr>
          <w:p w14:paraId="629667B4">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偏离情况</w:t>
            </w:r>
          </w:p>
        </w:tc>
        <w:tc>
          <w:tcPr>
            <w:tcW w:w="975" w:type="dxa"/>
            <w:noWrap w:val="0"/>
            <w:vAlign w:val="center"/>
          </w:tcPr>
          <w:p w14:paraId="258CAC76">
            <w:pPr>
              <w:spacing w:line="400" w:lineRule="exact"/>
              <w:jc w:val="center"/>
              <w:rPr>
                <w:rFonts w:hint="eastAsia" w:ascii="宋体" w:hAnsi="宋体" w:cs="宋体"/>
                <w:b/>
                <w:color w:val="000000"/>
                <w:sz w:val="24"/>
                <w:szCs w:val="24"/>
                <w:highlight w:val="none"/>
              </w:rPr>
            </w:pPr>
            <w:r>
              <w:rPr>
                <w:rFonts w:hint="eastAsia" w:ascii="宋体" w:hAnsi="宋体" w:cs="宋体"/>
                <w:b/>
                <w:color w:val="000000"/>
                <w:sz w:val="24"/>
                <w:szCs w:val="24"/>
                <w:highlight w:val="none"/>
              </w:rPr>
              <w:t>说明</w:t>
            </w:r>
          </w:p>
        </w:tc>
      </w:tr>
      <w:tr w14:paraId="6130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67" w:type="dxa"/>
            <w:noWrap w:val="0"/>
            <w:vAlign w:val="center"/>
          </w:tcPr>
          <w:p w14:paraId="1752DB4D">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1</w:t>
            </w:r>
          </w:p>
        </w:tc>
        <w:tc>
          <w:tcPr>
            <w:tcW w:w="1912" w:type="dxa"/>
            <w:noWrap w:val="0"/>
            <w:vAlign w:val="top"/>
          </w:tcPr>
          <w:p w14:paraId="41EA9A0F">
            <w:pPr>
              <w:spacing w:line="480" w:lineRule="exact"/>
              <w:rPr>
                <w:rFonts w:hint="eastAsia" w:ascii="宋体" w:hAnsi="宋体" w:cs="宋体"/>
                <w:color w:val="000000"/>
                <w:sz w:val="24"/>
                <w:szCs w:val="24"/>
                <w:highlight w:val="none"/>
              </w:rPr>
            </w:pPr>
          </w:p>
        </w:tc>
        <w:tc>
          <w:tcPr>
            <w:tcW w:w="1839" w:type="dxa"/>
            <w:noWrap w:val="0"/>
            <w:vAlign w:val="top"/>
          </w:tcPr>
          <w:p w14:paraId="195F719C">
            <w:pPr>
              <w:spacing w:line="480" w:lineRule="exact"/>
              <w:rPr>
                <w:rFonts w:hint="eastAsia" w:ascii="宋体" w:hAnsi="宋体" w:cs="宋体"/>
                <w:color w:val="000000"/>
                <w:sz w:val="24"/>
                <w:szCs w:val="24"/>
                <w:highlight w:val="none"/>
              </w:rPr>
            </w:pPr>
          </w:p>
        </w:tc>
        <w:tc>
          <w:tcPr>
            <w:tcW w:w="1593" w:type="dxa"/>
            <w:noWrap w:val="0"/>
            <w:vAlign w:val="top"/>
          </w:tcPr>
          <w:p w14:paraId="5F7C8F27">
            <w:pPr>
              <w:spacing w:line="480" w:lineRule="exact"/>
              <w:rPr>
                <w:rFonts w:hint="eastAsia" w:ascii="宋体" w:hAnsi="宋体" w:cs="宋体"/>
                <w:color w:val="000000"/>
                <w:sz w:val="24"/>
                <w:szCs w:val="24"/>
                <w:highlight w:val="none"/>
              </w:rPr>
            </w:pPr>
          </w:p>
        </w:tc>
        <w:tc>
          <w:tcPr>
            <w:tcW w:w="1500" w:type="dxa"/>
            <w:noWrap w:val="0"/>
            <w:vAlign w:val="top"/>
          </w:tcPr>
          <w:p w14:paraId="055DE542">
            <w:pPr>
              <w:spacing w:line="480" w:lineRule="exact"/>
              <w:rPr>
                <w:rFonts w:hint="eastAsia" w:ascii="宋体" w:hAnsi="宋体" w:cs="宋体"/>
                <w:color w:val="000000"/>
                <w:sz w:val="24"/>
                <w:szCs w:val="24"/>
                <w:highlight w:val="none"/>
              </w:rPr>
            </w:pPr>
          </w:p>
        </w:tc>
        <w:tc>
          <w:tcPr>
            <w:tcW w:w="750" w:type="dxa"/>
            <w:noWrap w:val="0"/>
            <w:vAlign w:val="top"/>
          </w:tcPr>
          <w:p w14:paraId="0E9591E7">
            <w:pPr>
              <w:spacing w:line="480" w:lineRule="exact"/>
              <w:rPr>
                <w:rFonts w:hint="eastAsia" w:ascii="宋体" w:hAnsi="宋体" w:cs="宋体"/>
                <w:color w:val="000000"/>
                <w:sz w:val="24"/>
                <w:szCs w:val="24"/>
                <w:highlight w:val="none"/>
              </w:rPr>
            </w:pPr>
          </w:p>
        </w:tc>
        <w:tc>
          <w:tcPr>
            <w:tcW w:w="975" w:type="dxa"/>
            <w:noWrap w:val="0"/>
            <w:vAlign w:val="top"/>
          </w:tcPr>
          <w:p w14:paraId="6EE7109F">
            <w:pPr>
              <w:spacing w:line="480" w:lineRule="exact"/>
              <w:rPr>
                <w:rFonts w:hint="eastAsia" w:ascii="宋体" w:hAnsi="宋体" w:cs="宋体"/>
                <w:color w:val="000000"/>
                <w:sz w:val="24"/>
                <w:szCs w:val="24"/>
                <w:highlight w:val="none"/>
              </w:rPr>
            </w:pPr>
          </w:p>
        </w:tc>
      </w:tr>
      <w:tr w14:paraId="356F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67" w:type="dxa"/>
            <w:noWrap w:val="0"/>
            <w:vAlign w:val="center"/>
          </w:tcPr>
          <w:p w14:paraId="24A31C85">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2</w:t>
            </w:r>
          </w:p>
        </w:tc>
        <w:tc>
          <w:tcPr>
            <w:tcW w:w="1912" w:type="dxa"/>
            <w:noWrap w:val="0"/>
            <w:vAlign w:val="top"/>
          </w:tcPr>
          <w:p w14:paraId="31A2D83E">
            <w:pPr>
              <w:spacing w:line="480" w:lineRule="exact"/>
              <w:rPr>
                <w:rFonts w:hint="eastAsia" w:ascii="宋体" w:hAnsi="宋体" w:cs="宋体"/>
                <w:color w:val="000000"/>
                <w:sz w:val="24"/>
                <w:szCs w:val="24"/>
                <w:highlight w:val="none"/>
              </w:rPr>
            </w:pPr>
          </w:p>
        </w:tc>
        <w:tc>
          <w:tcPr>
            <w:tcW w:w="1839" w:type="dxa"/>
            <w:noWrap w:val="0"/>
            <w:vAlign w:val="top"/>
          </w:tcPr>
          <w:p w14:paraId="05DF2F61">
            <w:pPr>
              <w:spacing w:line="480" w:lineRule="exact"/>
              <w:rPr>
                <w:rFonts w:hint="eastAsia" w:ascii="宋体" w:hAnsi="宋体" w:cs="宋体"/>
                <w:color w:val="000000"/>
                <w:sz w:val="24"/>
                <w:szCs w:val="24"/>
                <w:highlight w:val="none"/>
              </w:rPr>
            </w:pPr>
          </w:p>
        </w:tc>
        <w:tc>
          <w:tcPr>
            <w:tcW w:w="1593" w:type="dxa"/>
            <w:noWrap w:val="0"/>
            <w:vAlign w:val="top"/>
          </w:tcPr>
          <w:p w14:paraId="1F541518">
            <w:pPr>
              <w:spacing w:line="480" w:lineRule="exact"/>
              <w:rPr>
                <w:rFonts w:hint="eastAsia" w:ascii="宋体" w:hAnsi="宋体" w:cs="宋体"/>
                <w:color w:val="000000"/>
                <w:sz w:val="24"/>
                <w:szCs w:val="24"/>
                <w:highlight w:val="none"/>
              </w:rPr>
            </w:pPr>
          </w:p>
        </w:tc>
        <w:tc>
          <w:tcPr>
            <w:tcW w:w="1500" w:type="dxa"/>
            <w:noWrap w:val="0"/>
            <w:vAlign w:val="top"/>
          </w:tcPr>
          <w:p w14:paraId="6E193AC8">
            <w:pPr>
              <w:spacing w:line="480" w:lineRule="exact"/>
              <w:rPr>
                <w:rFonts w:hint="eastAsia" w:ascii="宋体" w:hAnsi="宋体" w:cs="宋体"/>
                <w:color w:val="000000"/>
                <w:sz w:val="24"/>
                <w:szCs w:val="24"/>
                <w:highlight w:val="none"/>
              </w:rPr>
            </w:pPr>
          </w:p>
        </w:tc>
        <w:tc>
          <w:tcPr>
            <w:tcW w:w="750" w:type="dxa"/>
            <w:noWrap w:val="0"/>
            <w:vAlign w:val="top"/>
          </w:tcPr>
          <w:p w14:paraId="2681EC8F">
            <w:pPr>
              <w:spacing w:line="480" w:lineRule="exact"/>
              <w:rPr>
                <w:rFonts w:hint="eastAsia" w:ascii="宋体" w:hAnsi="宋体" w:cs="宋体"/>
                <w:color w:val="000000"/>
                <w:sz w:val="24"/>
                <w:szCs w:val="24"/>
                <w:highlight w:val="none"/>
              </w:rPr>
            </w:pPr>
          </w:p>
        </w:tc>
        <w:tc>
          <w:tcPr>
            <w:tcW w:w="975" w:type="dxa"/>
            <w:noWrap w:val="0"/>
            <w:vAlign w:val="top"/>
          </w:tcPr>
          <w:p w14:paraId="69CA57F1">
            <w:pPr>
              <w:spacing w:line="480" w:lineRule="exact"/>
              <w:rPr>
                <w:rFonts w:hint="eastAsia" w:ascii="宋体" w:hAnsi="宋体" w:cs="宋体"/>
                <w:color w:val="000000"/>
                <w:sz w:val="24"/>
                <w:szCs w:val="24"/>
                <w:highlight w:val="none"/>
              </w:rPr>
            </w:pPr>
          </w:p>
        </w:tc>
      </w:tr>
      <w:tr w14:paraId="20C2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67" w:type="dxa"/>
            <w:noWrap w:val="0"/>
            <w:vAlign w:val="center"/>
          </w:tcPr>
          <w:p w14:paraId="1E21FD46">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3</w:t>
            </w:r>
          </w:p>
        </w:tc>
        <w:tc>
          <w:tcPr>
            <w:tcW w:w="1912" w:type="dxa"/>
            <w:noWrap w:val="0"/>
            <w:vAlign w:val="top"/>
          </w:tcPr>
          <w:p w14:paraId="124683C3">
            <w:pPr>
              <w:spacing w:line="480" w:lineRule="exact"/>
              <w:rPr>
                <w:rFonts w:hint="eastAsia" w:ascii="宋体" w:hAnsi="宋体" w:cs="宋体"/>
                <w:color w:val="000000"/>
                <w:sz w:val="24"/>
                <w:szCs w:val="24"/>
                <w:highlight w:val="none"/>
              </w:rPr>
            </w:pPr>
          </w:p>
        </w:tc>
        <w:tc>
          <w:tcPr>
            <w:tcW w:w="1839" w:type="dxa"/>
            <w:noWrap w:val="0"/>
            <w:vAlign w:val="top"/>
          </w:tcPr>
          <w:p w14:paraId="64268AE4">
            <w:pPr>
              <w:spacing w:line="480" w:lineRule="exact"/>
              <w:rPr>
                <w:rFonts w:hint="eastAsia" w:ascii="宋体" w:hAnsi="宋体" w:cs="宋体"/>
                <w:color w:val="000000"/>
                <w:sz w:val="24"/>
                <w:szCs w:val="24"/>
                <w:highlight w:val="none"/>
              </w:rPr>
            </w:pPr>
          </w:p>
        </w:tc>
        <w:tc>
          <w:tcPr>
            <w:tcW w:w="1593" w:type="dxa"/>
            <w:noWrap w:val="0"/>
            <w:vAlign w:val="top"/>
          </w:tcPr>
          <w:p w14:paraId="10A2C2B9">
            <w:pPr>
              <w:spacing w:line="480" w:lineRule="exact"/>
              <w:rPr>
                <w:rFonts w:hint="eastAsia" w:ascii="宋体" w:hAnsi="宋体" w:cs="宋体"/>
                <w:color w:val="000000"/>
                <w:sz w:val="24"/>
                <w:szCs w:val="24"/>
                <w:highlight w:val="none"/>
              </w:rPr>
            </w:pPr>
          </w:p>
        </w:tc>
        <w:tc>
          <w:tcPr>
            <w:tcW w:w="1500" w:type="dxa"/>
            <w:noWrap w:val="0"/>
            <w:vAlign w:val="top"/>
          </w:tcPr>
          <w:p w14:paraId="2C20B9B1">
            <w:pPr>
              <w:spacing w:line="480" w:lineRule="exact"/>
              <w:rPr>
                <w:rFonts w:hint="eastAsia" w:ascii="宋体" w:hAnsi="宋体" w:cs="宋体"/>
                <w:color w:val="000000"/>
                <w:sz w:val="24"/>
                <w:szCs w:val="24"/>
                <w:highlight w:val="none"/>
              </w:rPr>
            </w:pPr>
          </w:p>
        </w:tc>
        <w:tc>
          <w:tcPr>
            <w:tcW w:w="750" w:type="dxa"/>
            <w:noWrap w:val="0"/>
            <w:vAlign w:val="top"/>
          </w:tcPr>
          <w:p w14:paraId="7CA5F29D">
            <w:pPr>
              <w:spacing w:line="480" w:lineRule="exact"/>
              <w:rPr>
                <w:rFonts w:hint="eastAsia" w:ascii="宋体" w:hAnsi="宋体" w:cs="宋体"/>
                <w:color w:val="000000"/>
                <w:sz w:val="24"/>
                <w:szCs w:val="24"/>
                <w:highlight w:val="none"/>
              </w:rPr>
            </w:pPr>
          </w:p>
        </w:tc>
        <w:tc>
          <w:tcPr>
            <w:tcW w:w="975" w:type="dxa"/>
            <w:noWrap w:val="0"/>
            <w:vAlign w:val="top"/>
          </w:tcPr>
          <w:p w14:paraId="42855289">
            <w:pPr>
              <w:spacing w:line="480" w:lineRule="exact"/>
              <w:rPr>
                <w:rFonts w:hint="eastAsia" w:ascii="宋体" w:hAnsi="宋体" w:cs="宋体"/>
                <w:color w:val="000000"/>
                <w:sz w:val="24"/>
                <w:szCs w:val="24"/>
                <w:highlight w:val="none"/>
              </w:rPr>
            </w:pPr>
          </w:p>
        </w:tc>
      </w:tr>
      <w:tr w14:paraId="74DB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67" w:type="dxa"/>
            <w:noWrap w:val="0"/>
            <w:vAlign w:val="center"/>
          </w:tcPr>
          <w:p w14:paraId="4FF5CB2F">
            <w:pPr>
              <w:spacing w:line="480" w:lineRule="exact"/>
              <w:jc w:val="center"/>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4</w:t>
            </w:r>
          </w:p>
        </w:tc>
        <w:tc>
          <w:tcPr>
            <w:tcW w:w="1912" w:type="dxa"/>
            <w:noWrap w:val="0"/>
            <w:vAlign w:val="top"/>
          </w:tcPr>
          <w:p w14:paraId="50A8CB4E">
            <w:pPr>
              <w:spacing w:line="480" w:lineRule="exact"/>
              <w:rPr>
                <w:rFonts w:hint="eastAsia" w:ascii="宋体" w:hAnsi="宋体" w:cs="宋体"/>
                <w:color w:val="000000"/>
                <w:sz w:val="24"/>
                <w:szCs w:val="24"/>
                <w:highlight w:val="none"/>
              </w:rPr>
            </w:pPr>
          </w:p>
        </w:tc>
        <w:tc>
          <w:tcPr>
            <w:tcW w:w="1839" w:type="dxa"/>
            <w:noWrap w:val="0"/>
            <w:vAlign w:val="top"/>
          </w:tcPr>
          <w:p w14:paraId="3E24968C">
            <w:pPr>
              <w:spacing w:line="480" w:lineRule="exact"/>
              <w:rPr>
                <w:rFonts w:hint="eastAsia" w:ascii="宋体" w:hAnsi="宋体" w:cs="宋体"/>
                <w:color w:val="000000"/>
                <w:sz w:val="24"/>
                <w:szCs w:val="24"/>
                <w:highlight w:val="none"/>
              </w:rPr>
            </w:pPr>
          </w:p>
        </w:tc>
        <w:tc>
          <w:tcPr>
            <w:tcW w:w="1593" w:type="dxa"/>
            <w:noWrap w:val="0"/>
            <w:vAlign w:val="top"/>
          </w:tcPr>
          <w:p w14:paraId="1DAC28C9">
            <w:pPr>
              <w:spacing w:line="480" w:lineRule="exact"/>
              <w:rPr>
                <w:rFonts w:hint="eastAsia" w:ascii="宋体" w:hAnsi="宋体" w:cs="宋体"/>
                <w:color w:val="000000"/>
                <w:sz w:val="24"/>
                <w:szCs w:val="24"/>
                <w:highlight w:val="none"/>
              </w:rPr>
            </w:pPr>
          </w:p>
        </w:tc>
        <w:tc>
          <w:tcPr>
            <w:tcW w:w="1500" w:type="dxa"/>
            <w:noWrap w:val="0"/>
            <w:vAlign w:val="top"/>
          </w:tcPr>
          <w:p w14:paraId="796C03E8">
            <w:pPr>
              <w:spacing w:line="480" w:lineRule="exact"/>
              <w:rPr>
                <w:rFonts w:hint="eastAsia" w:ascii="宋体" w:hAnsi="宋体" w:cs="宋体"/>
                <w:color w:val="000000"/>
                <w:sz w:val="24"/>
                <w:szCs w:val="24"/>
                <w:highlight w:val="none"/>
              </w:rPr>
            </w:pPr>
          </w:p>
        </w:tc>
        <w:tc>
          <w:tcPr>
            <w:tcW w:w="750" w:type="dxa"/>
            <w:noWrap w:val="0"/>
            <w:vAlign w:val="top"/>
          </w:tcPr>
          <w:p w14:paraId="7DA5F370">
            <w:pPr>
              <w:spacing w:line="480" w:lineRule="exact"/>
              <w:rPr>
                <w:rFonts w:hint="eastAsia" w:ascii="宋体" w:hAnsi="宋体" w:cs="宋体"/>
                <w:color w:val="000000"/>
                <w:sz w:val="24"/>
                <w:szCs w:val="24"/>
                <w:highlight w:val="none"/>
              </w:rPr>
            </w:pPr>
          </w:p>
        </w:tc>
        <w:tc>
          <w:tcPr>
            <w:tcW w:w="975" w:type="dxa"/>
            <w:noWrap w:val="0"/>
            <w:vAlign w:val="top"/>
          </w:tcPr>
          <w:p w14:paraId="5BEAE72A">
            <w:pPr>
              <w:spacing w:line="480" w:lineRule="exact"/>
              <w:rPr>
                <w:rFonts w:hint="eastAsia" w:ascii="宋体" w:hAnsi="宋体" w:cs="宋体"/>
                <w:color w:val="000000"/>
                <w:sz w:val="24"/>
                <w:szCs w:val="24"/>
                <w:highlight w:val="none"/>
              </w:rPr>
            </w:pPr>
          </w:p>
        </w:tc>
      </w:tr>
      <w:tr w14:paraId="23C54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67" w:type="dxa"/>
            <w:noWrap w:val="0"/>
            <w:vAlign w:val="center"/>
          </w:tcPr>
          <w:p w14:paraId="02E37547">
            <w:pPr>
              <w:spacing w:line="480" w:lineRule="exact"/>
              <w:jc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w:t>
            </w:r>
          </w:p>
        </w:tc>
        <w:tc>
          <w:tcPr>
            <w:tcW w:w="1912" w:type="dxa"/>
            <w:noWrap w:val="0"/>
            <w:vAlign w:val="top"/>
          </w:tcPr>
          <w:p w14:paraId="5A0CF317">
            <w:pPr>
              <w:spacing w:line="480" w:lineRule="exact"/>
              <w:rPr>
                <w:rFonts w:hint="eastAsia" w:ascii="宋体" w:hAnsi="宋体" w:cs="宋体"/>
                <w:color w:val="000000"/>
                <w:sz w:val="24"/>
                <w:szCs w:val="24"/>
                <w:highlight w:val="none"/>
              </w:rPr>
            </w:pPr>
          </w:p>
        </w:tc>
        <w:tc>
          <w:tcPr>
            <w:tcW w:w="1839" w:type="dxa"/>
            <w:noWrap w:val="0"/>
            <w:vAlign w:val="top"/>
          </w:tcPr>
          <w:p w14:paraId="6B796014">
            <w:pPr>
              <w:spacing w:line="480" w:lineRule="exact"/>
              <w:rPr>
                <w:rFonts w:hint="eastAsia" w:ascii="宋体" w:hAnsi="宋体" w:cs="宋体"/>
                <w:color w:val="000000"/>
                <w:sz w:val="24"/>
                <w:szCs w:val="24"/>
                <w:highlight w:val="none"/>
              </w:rPr>
            </w:pPr>
          </w:p>
        </w:tc>
        <w:tc>
          <w:tcPr>
            <w:tcW w:w="1593" w:type="dxa"/>
            <w:noWrap w:val="0"/>
            <w:vAlign w:val="top"/>
          </w:tcPr>
          <w:p w14:paraId="3A4F90DB">
            <w:pPr>
              <w:spacing w:line="480" w:lineRule="exact"/>
              <w:rPr>
                <w:rFonts w:hint="eastAsia" w:ascii="宋体" w:hAnsi="宋体" w:cs="宋体"/>
                <w:color w:val="000000"/>
                <w:sz w:val="24"/>
                <w:szCs w:val="24"/>
                <w:highlight w:val="none"/>
              </w:rPr>
            </w:pPr>
          </w:p>
        </w:tc>
        <w:tc>
          <w:tcPr>
            <w:tcW w:w="1500" w:type="dxa"/>
            <w:noWrap w:val="0"/>
            <w:vAlign w:val="top"/>
          </w:tcPr>
          <w:p w14:paraId="1C9AC315">
            <w:pPr>
              <w:spacing w:line="480" w:lineRule="exact"/>
              <w:rPr>
                <w:rFonts w:hint="eastAsia" w:ascii="宋体" w:hAnsi="宋体" w:cs="宋体"/>
                <w:color w:val="000000"/>
                <w:sz w:val="24"/>
                <w:szCs w:val="24"/>
                <w:highlight w:val="none"/>
              </w:rPr>
            </w:pPr>
          </w:p>
        </w:tc>
        <w:tc>
          <w:tcPr>
            <w:tcW w:w="750" w:type="dxa"/>
            <w:noWrap w:val="0"/>
            <w:vAlign w:val="top"/>
          </w:tcPr>
          <w:p w14:paraId="6E7B8E74">
            <w:pPr>
              <w:spacing w:line="480" w:lineRule="exact"/>
              <w:rPr>
                <w:rFonts w:hint="eastAsia" w:ascii="宋体" w:hAnsi="宋体" w:cs="宋体"/>
                <w:color w:val="000000"/>
                <w:sz w:val="24"/>
                <w:szCs w:val="24"/>
                <w:highlight w:val="none"/>
              </w:rPr>
            </w:pPr>
          </w:p>
        </w:tc>
        <w:tc>
          <w:tcPr>
            <w:tcW w:w="975" w:type="dxa"/>
            <w:noWrap w:val="0"/>
            <w:vAlign w:val="top"/>
          </w:tcPr>
          <w:p w14:paraId="60C4648C">
            <w:pPr>
              <w:spacing w:line="480" w:lineRule="exact"/>
              <w:rPr>
                <w:rFonts w:hint="eastAsia" w:ascii="宋体" w:hAnsi="宋体" w:cs="宋体"/>
                <w:color w:val="000000"/>
                <w:sz w:val="24"/>
                <w:szCs w:val="24"/>
                <w:highlight w:val="none"/>
              </w:rPr>
            </w:pPr>
          </w:p>
        </w:tc>
      </w:tr>
    </w:tbl>
    <w:p w14:paraId="1900DE2A">
      <w:pPr>
        <w:pStyle w:val="10"/>
        <w:keepNext w:val="0"/>
        <w:keepLines w:val="0"/>
        <w:pageBreakBefore w:val="0"/>
        <w:widowControl/>
        <w:kinsoku/>
        <w:wordWrap/>
        <w:overflowPunct/>
        <w:topLinePunct w:val="0"/>
        <w:autoSpaceDE/>
        <w:autoSpaceDN/>
        <w:bidi w:val="0"/>
        <w:spacing w:line="360" w:lineRule="auto"/>
        <w:rPr>
          <w:rFonts w:hint="eastAsia" w:ascii="宋体" w:hAnsi="宋体"/>
          <w:b/>
          <w:bCs/>
          <w:color w:val="FF0000"/>
          <w:sz w:val="24"/>
          <w:szCs w:val="24"/>
          <w:highlight w:val="none"/>
        </w:rPr>
      </w:pPr>
      <w:r>
        <w:rPr>
          <w:rFonts w:hint="eastAsia" w:ascii="宋体" w:hAnsi="宋体"/>
          <w:b/>
          <w:bCs/>
          <w:color w:val="000000"/>
          <w:sz w:val="24"/>
          <w:szCs w:val="24"/>
          <w:highlight w:val="none"/>
        </w:rPr>
        <w:t>注：各投标人必须对</w:t>
      </w:r>
      <w:r>
        <w:rPr>
          <w:rFonts w:hint="eastAsia" w:ascii="宋体" w:hAnsi="宋体"/>
          <w:b/>
          <w:bCs/>
          <w:color w:val="000000"/>
          <w:sz w:val="24"/>
          <w:szCs w:val="24"/>
          <w:highlight w:val="none"/>
          <w:lang w:eastAsia="zh-CN"/>
        </w:rPr>
        <w:t>招标文件</w:t>
      </w:r>
      <w:r>
        <w:rPr>
          <w:rFonts w:hint="eastAsia" w:ascii="宋体" w:hAnsi="宋体"/>
          <w:b/>
          <w:bCs/>
          <w:color w:val="000000"/>
          <w:sz w:val="24"/>
          <w:szCs w:val="24"/>
          <w:highlight w:val="none"/>
        </w:rPr>
        <w:t xml:space="preserve">“第五章 </w:t>
      </w:r>
      <w:r>
        <w:rPr>
          <w:rFonts w:hint="eastAsia" w:ascii="宋体" w:hAnsi="宋体"/>
          <w:b/>
          <w:bCs/>
          <w:color w:val="000000"/>
          <w:sz w:val="24"/>
          <w:szCs w:val="24"/>
          <w:highlight w:val="none"/>
          <w:lang w:eastAsia="zh-CN"/>
        </w:rPr>
        <w:t>采购内容及要求</w:t>
      </w:r>
      <w:r>
        <w:rPr>
          <w:rFonts w:hint="eastAsia" w:ascii="宋体" w:hAnsi="宋体"/>
          <w:b/>
          <w:bCs/>
          <w:color w:val="000000"/>
          <w:sz w:val="24"/>
          <w:szCs w:val="24"/>
          <w:highlight w:val="none"/>
        </w:rPr>
        <w:t>”中的技术规格及要求（技术参数）要求作出全面、真实的反映，投标人除如实填写技术规格偏离表外，投标文件中必须提供制造厂商出具的满足产品需求的技术证明材料(包括但不限于产品彩页或白皮书)、说明书以及配置清单等资料以证明其产品的技术指标参数和具体配置情况的真实性，采购人也可根据设备制造厂商官方网站资料以证明投标人产品的技术指标参数和具体配置情况的真实性。若投标文件中最新技术支持资料参数与技术规格偏离表应答不符或无技术资料应答，而投标人又未在投标文件中作出说明和解释的，视为不响应该条技术参数要求</w:t>
      </w:r>
      <w:r>
        <w:rPr>
          <w:rFonts w:hint="eastAsia" w:ascii="宋体" w:hAnsi="宋体"/>
          <w:color w:val="000000"/>
          <w:sz w:val="24"/>
          <w:szCs w:val="24"/>
          <w:highlight w:val="none"/>
        </w:rPr>
        <w:t>。</w:t>
      </w:r>
      <w:r>
        <w:rPr>
          <w:rFonts w:hint="eastAsia" w:ascii="宋体" w:hAnsi="宋体"/>
          <w:b/>
          <w:bCs/>
          <w:color w:val="FF0000"/>
          <w:sz w:val="24"/>
          <w:szCs w:val="24"/>
          <w:highlight w:val="none"/>
          <w:lang w:eastAsia="zh-CN"/>
        </w:rPr>
        <w:t>不实事求是填写技术规格偏离表或提供虚假支撑材料的，视为虚假应标，评标委员会将否决其投标</w:t>
      </w:r>
      <w:r>
        <w:rPr>
          <w:rFonts w:hint="eastAsia" w:ascii="宋体" w:hAnsi="宋体"/>
          <w:b/>
          <w:bCs/>
          <w:color w:val="FF0000"/>
          <w:sz w:val="24"/>
          <w:szCs w:val="24"/>
          <w:highlight w:val="none"/>
        </w:rPr>
        <w:t>。</w:t>
      </w:r>
    </w:p>
    <w:p w14:paraId="5BDFA161">
      <w:pPr>
        <w:autoSpaceDE w:val="0"/>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63B37F18">
      <w:pPr>
        <w:pStyle w:val="12"/>
        <w:rPr>
          <w:rFonts w:ascii="宋体" w:hAnsi="宋体" w:cs="宋体"/>
          <w:i w:val="0"/>
          <w:iCs w:val="0"/>
          <w:color w:val="auto"/>
          <w:highlight w:val="none"/>
        </w:rPr>
      </w:pPr>
    </w:p>
    <w:p w14:paraId="1D0A0C95">
      <w:pPr>
        <w:spacing w:line="480" w:lineRule="auto"/>
        <w:ind w:right="480" w:firstLine="360" w:firstLineChars="15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2FA4D44C">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796C2E61">
      <w:pPr>
        <w:spacing w:line="480" w:lineRule="auto"/>
        <w:ind w:right="48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3B1DDC9">
      <w:pPr>
        <w:pStyle w:val="12"/>
        <w:rPr>
          <w:rFonts w:ascii="宋体" w:hAnsi="宋体" w:cs="宋体"/>
          <w:i w:val="0"/>
          <w:iCs w:val="0"/>
          <w:color w:val="auto"/>
          <w:highlight w:val="none"/>
        </w:rPr>
      </w:pPr>
    </w:p>
    <w:p w14:paraId="2AA23B11">
      <w:pPr>
        <w:bidi w:val="0"/>
        <w:jc w:val="left"/>
        <w:rPr>
          <w:rFonts w:ascii="宋体" w:hAnsi="宋体" w:cs="宋体"/>
          <w:i w:val="0"/>
          <w:iCs w:val="0"/>
          <w:color w:val="auto"/>
          <w:highlight w:val="none"/>
        </w:rPr>
      </w:pPr>
      <w:bookmarkStart w:id="296" w:name="_Toc14236"/>
      <w:bookmarkEnd w:id="296"/>
      <w:bookmarkStart w:id="297" w:name="_Toc29437"/>
      <w:r>
        <w:rPr>
          <w:rFonts w:hint="eastAsia" w:ascii="宋体" w:hAnsi="宋体" w:cs="宋体"/>
          <w:i w:val="0"/>
          <w:iCs w:val="0"/>
          <w:color w:val="auto"/>
          <w:highlight w:val="none"/>
        </w:rPr>
        <w:br w:type="page"/>
      </w:r>
      <w:bookmarkStart w:id="298" w:name="_Toc11139"/>
      <w:bookmarkStart w:id="299" w:name="_Toc27573"/>
      <w:r>
        <w:rPr>
          <w:rFonts w:hint="eastAsia"/>
          <w:b/>
          <w:bCs/>
          <w:sz w:val="30"/>
          <w:szCs w:val="30"/>
          <w:lang w:val="en-US" w:eastAsia="zh-CN"/>
        </w:rPr>
        <w:t>格式7：</w:t>
      </w:r>
      <w:bookmarkEnd w:id="298"/>
      <w:bookmarkEnd w:id="299"/>
    </w:p>
    <w:bookmarkEnd w:id="297"/>
    <w:p w14:paraId="2D7E353E">
      <w:pPr>
        <w:bidi w:val="0"/>
        <w:jc w:val="center"/>
        <w:rPr>
          <w:b/>
          <w:bCs/>
          <w:sz w:val="28"/>
          <w:szCs w:val="28"/>
        </w:rPr>
      </w:pPr>
      <w:r>
        <w:rPr>
          <w:rFonts w:hint="eastAsia"/>
          <w:b/>
          <w:bCs/>
          <w:sz w:val="28"/>
          <w:szCs w:val="28"/>
          <w:lang w:val="en-US" w:eastAsia="zh-CN"/>
        </w:rPr>
        <w:t>分项报价表</w:t>
      </w:r>
    </w:p>
    <w:p w14:paraId="2DE332CD">
      <w:pPr>
        <w:spacing w:line="240" w:lineRule="exact"/>
        <w:rPr>
          <w:rFonts w:ascii="宋体" w:hAnsi="宋体" w:cs="宋体"/>
          <w:i w:val="0"/>
          <w:iCs w:val="0"/>
          <w:color w:val="auto"/>
          <w:highlight w:val="none"/>
        </w:rPr>
      </w:pPr>
    </w:p>
    <w:tbl>
      <w:tblPr>
        <w:tblStyle w:val="34"/>
        <w:tblW w:w="9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202"/>
        <w:gridCol w:w="1425"/>
        <w:gridCol w:w="662"/>
        <w:gridCol w:w="1086"/>
        <w:gridCol w:w="1440"/>
        <w:gridCol w:w="1102"/>
        <w:gridCol w:w="891"/>
        <w:gridCol w:w="998"/>
      </w:tblGrid>
      <w:tr w14:paraId="3DFA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755" w:type="dxa"/>
            <w:noWrap w:val="0"/>
            <w:vAlign w:val="center"/>
          </w:tcPr>
          <w:p w14:paraId="0E1C8247">
            <w:pPr>
              <w:pStyle w:val="16"/>
              <w:spacing w:line="240" w:lineRule="atLeast"/>
              <w:jc w:val="both"/>
              <w:rPr>
                <w:rFonts w:hint="eastAsia" w:hAnsi="宋体" w:cs="宋体"/>
                <w:b/>
                <w:bCs/>
                <w:color w:val="000000"/>
                <w:sz w:val="24"/>
                <w:szCs w:val="24"/>
                <w:highlight w:val="none"/>
              </w:rPr>
            </w:pPr>
            <w:r>
              <w:rPr>
                <w:rFonts w:hint="eastAsia" w:hAnsi="宋体" w:cs="宋体"/>
                <w:b/>
                <w:bCs/>
                <w:color w:val="000000"/>
                <w:sz w:val="24"/>
                <w:szCs w:val="24"/>
                <w:highlight w:val="none"/>
              </w:rPr>
              <w:t>序号</w:t>
            </w:r>
          </w:p>
        </w:tc>
        <w:tc>
          <w:tcPr>
            <w:tcW w:w="1202" w:type="dxa"/>
            <w:noWrap w:val="0"/>
            <w:vAlign w:val="center"/>
          </w:tcPr>
          <w:p w14:paraId="58E06B8A">
            <w:pPr>
              <w:pStyle w:val="16"/>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分项名称</w:t>
            </w:r>
          </w:p>
        </w:tc>
        <w:tc>
          <w:tcPr>
            <w:tcW w:w="1425" w:type="dxa"/>
            <w:noWrap w:val="0"/>
            <w:vAlign w:val="center"/>
          </w:tcPr>
          <w:p w14:paraId="2309541B">
            <w:pPr>
              <w:pStyle w:val="16"/>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lang w:val="en-US" w:eastAsia="zh-CN"/>
              </w:rPr>
              <w:t>品牌/</w:t>
            </w:r>
            <w:r>
              <w:rPr>
                <w:rFonts w:hint="eastAsia" w:hAnsi="宋体" w:cs="宋体"/>
                <w:b/>
                <w:bCs/>
                <w:color w:val="000000"/>
                <w:sz w:val="24"/>
                <w:szCs w:val="24"/>
                <w:highlight w:val="none"/>
              </w:rPr>
              <w:t>型号和规格</w:t>
            </w:r>
          </w:p>
        </w:tc>
        <w:tc>
          <w:tcPr>
            <w:tcW w:w="662" w:type="dxa"/>
            <w:noWrap w:val="0"/>
            <w:vAlign w:val="center"/>
          </w:tcPr>
          <w:p w14:paraId="25256E5C">
            <w:pPr>
              <w:pStyle w:val="16"/>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数量</w:t>
            </w:r>
          </w:p>
        </w:tc>
        <w:tc>
          <w:tcPr>
            <w:tcW w:w="1086" w:type="dxa"/>
            <w:noWrap w:val="0"/>
            <w:vAlign w:val="center"/>
          </w:tcPr>
          <w:p w14:paraId="2CF2869F">
            <w:pPr>
              <w:pStyle w:val="16"/>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原产地</w:t>
            </w:r>
          </w:p>
        </w:tc>
        <w:tc>
          <w:tcPr>
            <w:tcW w:w="1440" w:type="dxa"/>
            <w:noWrap w:val="0"/>
            <w:vAlign w:val="center"/>
          </w:tcPr>
          <w:p w14:paraId="08648EBF">
            <w:pPr>
              <w:pStyle w:val="16"/>
              <w:spacing w:line="240" w:lineRule="atLeast"/>
              <w:jc w:val="center"/>
              <w:rPr>
                <w:rFonts w:hint="eastAsia" w:hAnsi="宋体" w:cs="宋体"/>
                <w:b/>
                <w:bCs/>
                <w:color w:val="000000"/>
                <w:sz w:val="24"/>
                <w:szCs w:val="24"/>
                <w:highlight w:val="none"/>
              </w:rPr>
            </w:pPr>
            <w:r>
              <w:rPr>
                <w:rFonts w:hint="eastAsia" w:hAnsi="宋体" w:cs="宋体"/>
                <w:b/>
                <w:bCs/>
                <w:color w:val="000000"/>
                <w:sz w:val="24"/>
                <w:szCs w:val="24"/>
                <w:highlight w:val="none"/>
              </w:rPr>
              <w:t>制造商名称</w:t>
            </w:r>
          </w:p>
        </w:tc>
        <w:tc>
          <w:tcPr>
            <w:tcW w:w="1102" w:type="dxa"/>
            <w:noWrap w:val="0"/>
            <w:vAlign w:val="center"/>
          </w:tcPr>
          <w:p w14:paraId="30FCE4E8">
            <w:pPr>
              <w:pStyle w:val="16"/>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rPr>
              <w:t>单价</w:t>
            </w:r>
            <w:r>
              <w:rPr>
                <w:rFonts w:hint="eastAsia" w:hAnsi="宋体" w:cs="宋体"/>
                <w:b/>
                <w:bCs/>
                <w:color w:val="000000"/>
                <w:sz w:val="24"/>
                <w:szCs w:val="24"/>
                <w:highlight w:val="none"/>
                <w:lang w:eastAsia="zh-CN"/>
              </w:rPr>
              <w:t>（元）</w:t>
            </w:r>
          </w:p>
        </w:tc>
        <w:tc>
          <w:tcPr>
            <w:tcW w:w="891" w:type="dxa"/>
            <w:noWrap w:val="0"/>
            <w:vAlign w:val="center"/>
          </w:tcPr>
          <w:p w14:paraId="088153B2">
            <w:pPr>
              <w:pStyle w:val="16"/>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rPr>
              <w:t>合价</w:t>
            </w:r>
            <w:r>
              <w:rPr>
                <w:rFonts w:hint="eastAsia" w:hAnsi="宋体" w:cs="宋体"/>
                <w:b/>
                <w:bCs/>
                <w:color w:val="000000"/>
                <w:sz w:val="24"/>
                <w:szCs w:val="24"/>
                <w:highlight w:val="none"/>
                <w:lang w:eastAsia="zh-CN"/>
              </w:rPr>
              <w:t>（元）</w:t>
            </w:r>
          </w:p>
        </w:tc>
        <w:tc>
          <w:tcPr>
            <w:tcW w:w="998" w:type="dxa"/>
            <w:noWrap w:val="0"/>
            <w:vAlign w:val="center"/>
          </w:tcPr>
          <w:p w14:paraId="04C4B71D">
            <w:pPr>
              <w:pStyle w:val="16"/>
              <w:spacing w:line="240" w:lineRule="atLeast"/>
              <w:jc w:val="center"/>
              <w:rPr>
                <w:rFonts w:hint="eastAsia" w:hAnsi="宋体" w:eastAsia="宋体" w:cs="宋体"/>
                <w:b/>
                <w:bCs/>
                <w:color w:val="000000"/>
                <w:sz w:val="24"/>
                <w:szCs w:val="24"/>
                <w:highlight w:val="none"/>
                <w:lang w:eastAsia="zh-CN"/>
              </w:rPr>
            </w:pPr>
            <w:r>
              <w:rPr>
                <w:rFonts w:hint="eastAsia" w:hAnsi="宋体" w:cs="宋体"/>
                <w:b/>
                <w:bCs/>
                <w:color w:val="000000"/>
                <w:sz w:val="24"/>
                <w:szCs w:val="24"/>
                <w:highlight w:val="none"/>
                <w:lang w:eastAsia="zh-CN"/>
              </w:rPr>
              <w:t>质保期</w:t>
            </w:r>
          </w:p>
        </w:tc>
      </w:tr>
      <w:tr w14:paraId="2033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55" w:type="dxa"/>
            <w:noWrap w:val="0"/>
            <w:vAlign w:val="center"/>
          </w:tcPr>
          <w:p w14:paraId="4DC2DBC8">
            <w:pPr>
              <w:pStyle w:val="16"/>
              <w:spacing w:line="240" w:lineRule="atLeast"/>
              <w:ind w:left="269" w:leftChars="128"/>
              <w:jc w:val="both"/>
              <w:rPr>
                <w:rFonts w:hint="eastAsia" w:hAnsi="宋体" w:cs="宋体"/>
                <w:color w:val="000000"/>
                <w:sz w:val="24"/>
                <w:szCs w:val="24"/>
                <w:highlight w:val="none"/>
              </w:rPr>
            </w:pPr>
            <w:r>
              <w:rPr>
                <w:rFonts w:hint="eastAsia" w:hAnsi="宋体" w:cs="宋体"/>
                <w:color w:val="000000"/>
                <w:sz w:val="24"/>
                <w:szCs w:val="24"/>
                <w:highlight w:val="none"/>
              </w:rPr>
              <w:t>1</w:t>
            </w:r>
          </w:p>
        </w:tc>
        <w:tc>
          <w:tcPr>
            <w:tcW w:w="1202" w:type="dxa"/>
            <w:noWrap w:val="0"/>
            <w:vAlign w:val="center"/>
          </w:tcPr>
          <w:p w14:paraId="223D0A26">
            <w:pPr>
              <w:pStyle w:val="16"/>
              <w:spacing w:line="240" w:lineRule="atLeast"/>
              <w:jc w:val="center"/>
              <w:rPr>
                <w:rFonts w:hint="eastAsia" w:hAnsi="宋体" w:cs="宋体"/>
                <w:color w:val="000000"/>
                <w:sz w:val="24"/>
                <w:szCs w:val="24"/>
                <w:highlight w:val="none"/>
              </w:rPr>
            </w:pPr>
            <w:r>
              <w:rPr>
                <w:rFonts w:hint="eastAsia" w:ascii="宋体" w:hAnsi="宋体" w:cs="宋体"/>
                <w:i w:val="0"/>
                <w:iCs w:val="0"/>
                <w:color w:val="auto"/>
                <w:sz w:val="24"/>
                <w:highlight w:val="none"/>
                <w:lang w:eastAsia="zh-CN"/>
              </w:rPr>
              <w:t>经颅磁刺激仪</w:t>
            </w:r>
          </w:p>
        </w:tc>
        <w:tc>
          <w:tcPr>
            <w:tcW w:w="1425" w:type="dxa"/>
            <w:noWrap w:val="0"/>
            <w:vAlign w:val="center"/>
          </w:tcPr>
          <w:p w14:paraId="09ACC8B8">
            <w:pPr>
              <w:pStyle w:val="16"/>
              <w:spacing w:line="240" w:lineRule="atLeast"/>
              <w:ind w:left="1080" w:leftChars="257" w:hanging="540"/>
              <w:jc w:val="center"/>
              <w:rPr>
                <w:rFonts w:hint="eastAsia" w:hAnsi="宋体" w:cs="宋体"/>
                <w:color w:val="000000"/>
                <w:sz w:val="24"/>
                <w:szCs w:val="24"/>
                <w:highlight w:val="none"/>
              </w:rPr>
            </w:pPr>
          </w:p>
        </w:tc>
        <w:tc>
          <w:tcPr>
            <w:tcW w:w="662" w:type="dxa"/>
            <w:noWrap w:val="0"/>
            <w:vAlign w:val="center"/>
          </w:tcPr>
          <w:p w14:paraId="0A0CECD8">
            <w:pPr>
              <w:pStyle w:val="16"/>
              <w:spacing w:line="240" w:lineRule="atLeast"/>
              <w:ind w:left="1080" w:leftChars="257" w:hanging="540"/>
              <w:jc w:val="center"/>
              <w:rPr>
                <w:rFonts w:hint="eastAsia" w:hAnsi="宋体" w:cs="宋体"/>
                <w:color w:val="000000"/>
                <w:sz w:val="24"/>
                <w:szCs w:val="24"/>
                <w:highlight w:val="none"/>
              </w:rPr>
            </w:pPr>
          </w:p>
        </w:tc>
        <w:tc>
          <w:tcPr>
            <w:tcW w:w="1086" w:type="dxa"/>
            <w:noWrap w:val="0"/>
            <w:vAlign w:val="center"/>
          </w:tcPr>
          <w:p w14:paraId="2ADE248E">
            <w:pPr>
              <w:pStyle w:val="16"/>
              <w:spacing w:line="240" w:lineRule="atLeast"/>
              <w:ind w:left="1080" w:leftChars="257" w:hanging="540"/>
              <w:jc w:val="center"/>
              <w:rPr>
                <w:rFonts w:hint="eastAsia" w:hAnsi="宋体" w:cs="宋体"/>
                <w:color w:val="000000"/>
                <w:sz w:val="24"/>
                <w:szCs w:val="24"/>
                <w:highlight w:val="none"/>
              </w:rPr>
            </w:pPr>
          </w:p>
        </w:tc>
        <w:tc>
          <w:tcPr>
            <w:tcW w:w="1440" w:type="dxa"/>
            <w:noWrap w:val="0"/>
            <w:vAlign w:val="center"/>
          </w:tcPr>
          <w:p w14:paraId="650E759C">
            <w:pPr>
              <w:pStyle w:val="16"/>
              <w:spacing w:line="240" w:lineRule="atLeast"/>
              <w:ind w:left="1080" w:leftChars="257" w:hanging="540"/>
              <w:jc w:val="center"/>
              <w:rPr>
                <w:rFonts w:hint="eastAsia" w:hAnsi="宋体" w:cs="宋体"/>
                <w:color w:val="000000"/>
                <w:sz w:val="24"/>
                <w:szCs w:val="24"/>
                <w:highlight w:val="none"/>
              </w:rPr>
            </w:pPr>
          </w:p>
        </w:tc>
        <w:tc>
          <w:tcPr>
            <w:tcW w:w="1102" w:type="dxa"/>
            <w:noWrap w:val="0"/>
            <w:vAlign w:val="center"/>
          </w:tcPr>
          <w:p w14:paraId="64A86B2D">
            <w:pPr>
              <w:pStyle w:val="16"/>
              <w:spacing w:line="240" w:lineRule="atLeast"/>
              <w:ind w:left="1080" w:leftChars="257" w:hanging="540"/>
              <w:jc w:val="center"/>
              <w:rPr>
                <w:rFonts w:hint="eastAsia" w:hAnsi="宋体" w:cs="宋体"/>
                <w:color w:val="000000"/>
                <w:sz w:val="24"/>
                <w:szCs w:val="24"/>
                <w:highlight w:val="none"/>
              </w:rPr>
            </w:pPr>
          </w:p>
        </w:tc>
        <w:tc>
          <w:tcPr>
            <w:tcW w:w="891" w:type="dxa"/>
            <w:noWrap w:val="0"/>
            <w:vAlign w:val="center"/>
          </w:tcPr>
          <w:p w14:paraId="44498AB7">
            <w:pPr>
              <w:pStyle w:val="16"/>
              <w:spacing w:line="240" w:lineRule="atLeast"/>
              <w:ind w:left="1080" w:leftChars="257" w:hanging="540"/>
              <w:jc w:val="center"/>
              <w:rPr>
                <w:rFonts w:hint="eastAsia" w:hAnsi="宋体" w:cs="宋体"/>
                <w:color w:val="000000"/>
                <w:sz w:val="24"/>
                <w:szCs w:val="24"/>
                <w:highlight w:val="none"/>
              </w:rPr>
            </w:pPr>
          </w:p>
        </w:tc>
        <w:tc>
          <w:tcPr>
            <w:tcW w:w="998" w:type="dxa"/>
            <w:noWrap w:val="0"/>
            <w:vAlign w:val="center"/>
          </w:tcPr>
          <w:p w14:paraId="02834A53">
            <w:pPr>
              <w:pStyle w:val="16"/>
              <w:spacing w:line="240" w:lineRule="atLeast"/>
              <w:ind w:left="1080" w:leftChars="257" w:hanging="540"/>
              <w:jc w:val="center"/>
              <w:rPr>
                <w:rFonts w:hint="eastAsia" w:hAnsi="宋体" w:cs="宋体"/>
                <w:color w:val="000000"/>
                <w:sz w:val="24"/>
                <w:szCs w:val="24"/>
                <w:highlight w:val="none"/>
              </w:rPr>
            </w:pPr>
          </w:p>
        </w:tc>
      </w:tr>
      <w:tr w14:paraId="51F9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9561" w:type="dxa"/>
            <w:gridSpan w:val="9"/>
            <w:noWrap w:val="0"/>
            <w:vAlign w:val="center"/>
          </w:tcPr>
          <w:p w14:paraId="224212AA">
            <w:pPr>
              <w:pStyle w:val="16"/>
              <w:spacing w:line="240" w:lineRule="atLeast"/>
              <w:ind w:left="1080" w:leftChars="257" w:hanging="540"/>
              <w:jc w:val="center"/>
              <w:rPr>
                <w:rFonts w:hint="default" w:hAnsi="宋体" w:eastAsia="宋体" w:cs="宋体"/>
                <w:color w:val="000000"/>
                <w:sz w:val="24"/>
                <w:szCs w:val="24"/>
                <w:highlight w:val="none"/>
                <w:lang w:val="en-US" w:eastAsia="zh-CN"/>
              </w:rPr>
            </w:pPr>
            <w:r>
              <w:rPr>
                <w:rFonts w:hint="eastAsia" w:hAnsi="宋体" w:cs="宋体"/>
                <w:color w:val="000000"/>
                <w:sz w:val="24"/>
                <w:szCs w:val="24"/>
                <w:highlight w:val="none"/>
                <w:lang w:val="en-US" w:eastAsia="zh-CN"/>
              </w:rPr>
              <w:t>投标总报价：  元</w:t>
            </w:r>
          </w:p>
        </w:tc>
      </w:tr>
    </w:tbl>
    <w:p w14:paraId="4A788DF2">
      <w:pPr>
        <w:spacing w:line="240" w:lineRule="exact"/>
        <w:rPr>
          <w:rFonts w:ascii="宋体" w:hAnsi="宋体" w:cs="宋体"/>
          <w:i w:val="0"/>
          <w:iCs w:val="0"/>
          <w:color w:val="auto"/>
          <w:highlight w:val="none"/>
        </w:rPr>
      </w:pPr>
    </w:p>
    <w:p w14:paraId="53B45285">
      <w:pPr>
        <w:pStyle w:val="12"/>
        <w:rPr>
          <w:rFonts w:ascii="宋体" w:hAnsi="宋体" w:cs="宋体"/>
          <w:i w:val="0"/>
          <w:iCs w:val="0"/>
          <w:color w:val="auto"/>
          <w:highlight w:val="none"/>
        </w:rPr>
      </w:pPr>
    </w:p>
    <w:p w14:paraId="759CCF41">
      <w:pPr>
        <w:pStyle w:val="15"/>
        <w:rPr>
          <w:rFonts w:ascii="宋体" w:hAnsi="宋体" w:cs="宋体"/>
          <w:i w:val="0"/>
          <w:iCs w:val="0"/>
          <w:color w:val="auto"/>
          <w:highlight w:val="none"/>
        </w:rPr>
      </w:pPr>
    </w:p>
    <w:p w14:paraId="24CF1C40">
      <w:pPr>
        <w:rPr>
          <w:rFonts w:ascii="宋体" w:hAnsi="宋体" w:cs="宋体"/>
          <w:i w:val="0"/>
          <w:iCs w:val="0"/>
          <w:color w:val="auto"/>
          <w:highlight w:val="none"/>
        </w:rPr>
      </w:pPr>
    </w:p>
    <w:p w14:paraId="35701629">
      <w:pPr>
        <w:rPr>
          <w:rFonts w:ascii="宋体" w:hAnsi="宋体" w:cs="宋体"/>
          <w:i w:val="0"/>
          <w:iCs w:val="0"/>
          <w:color w:val="auto"/>
          <w:highlight w:val="none"/>
        </w:rPr>
      </w:pPr>
    </w:p>
    <w:p w14:paraId="09589479">
      <w:pPr>
        <w:rPr>
          <w:rFonts w:ascii="宋体" w:hAnsi="宋体" w:cs="宋体"/>
          <w:i w:val="0"/>
          <w:iCs w:val="0"/>
          <w:color w:val="auto"/>
          <w:highlight w:val="none"/>
        </w:rPr>
      </w:pPr>
    </w:p>
    <w:p w14:paraId="3ACFB800">
      <w:pPr>
        <w:spacing w:line="480" w:lineRule="auto"/>
        <w:ind w:right="480" w:firstLine="360" w:firstLineChars="15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56FDCAF3">
      <w:pPr>
        <w:spacing w:line="480" w:lineRule="auto"/>
        <w:ind w:right="48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 xml:space="preserve">   法定代表人(单位负责人)或其委托代理人：</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3002D27D">
      <w:pPr>
        <w:spacing w:line="480" w:lineRule="auto"/>
        <w:ind w:right="480"/>
        <w:rPr>
          <w:rFonts w:ascii="宋体" w:hAnsi="宋体" w:cs="宋体"/>
          <w:i w:val="0"/>
          <w:iCs w:val="0"/>
          <w:color w:val="auto"/>
          <w:sz w:val="24"/>
          <w:szCs w:val="24"/>
          <w:highlight w:val="none"/>
          <w:u w:val="single"/>
        </w:rPr>
      </w:pPr>
      <w:r>
        <w:rPr>
          <w:rFonts w:hint="eastAsia" w:ascii="宋体" w:hAnsi="宋体" w:cs="宋体"/>
          <w:i w:val="0"/>
          <w:iCs w:val="0"/>
          <w:color w:val="auto"/>
          <w:sz w:val="24"/>
          <w:szCs w:val="24"/>
          <w:highlight w:val="none"/>
        </w:rPr>
        <w:t xml:space="preserve">   日期：</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515871AE">
      <w:pPr>
        <w:pStyle w:val="12"/>
        <w:rPr>
          <w:rFonts w:ascii="宋体" w:hAnsi="宋体" w:cs="宋体"/>
          <w:i w:val="0"/>
          <w:iCs w:val="0"/>
          <w:color w:val="auto"/>
          <w:highlight w:val="none"/>
        </w:rPr>
      </w:pPr>
    </w:p>
    <w:p w14:paraId="770113E7">
      <w:pPr>
        <w:spacing w:line="240" w:lineRule="exact"/>
        <w:rPr>
          <w:rFonts w:ascii="宋体" w:hAnsi="宋体" w:cs="宋体"/>
          <w:b/>
          <w:bCs/>
          <w:i w:val="0"/>
          <w:iCs w:val="0"/>
          <w:color w:val="auto"/>
          <w:sz w:val="44"/>
          <w:szCs w:val="44"/>
          <w:highlight w:val="none"/>
        </w:rPr>
      </w:pPr>
    </w:p>
    <w:p w14:paraId="7EBDA7CF">
      <w:pPr>
        <w:bidi w:val="0"/>
        <w:jc w:val="left"/>
        <w:rPr>
          <w:rFonts w:hint="eastAsia"/>
          <w:b/>
          <w:bCs/>
          <w:sz w:val="30"/>
          <w:szCs w:val="30"/>
          <w:lang w:val="en-US" w:eastAsia="zh-CN"/>
        </w:rPr>
      </w:pPr>
      <w:bookmarkStart w:id="300" w:name="_Toc15277"/>
      <w:bookmarkEnd w:id="300"/>
      <w:bookmarkStart w:id="301" w:name="_Toc10610"/>
      <w:bookmarkEnd w:id="301"/>
      <w:bookmarkStart w:id="302" w:name="_Toc5779"/>
      <w:bookmarkEnd w:id="302"/>
      <w:bookmarkStart w:id="303" w:name="_Toc5344"/>
      <w:r>
        <w:rPr>
          <w:rFonts w:hint="eastAsia" w:ascii="宋体" w:hAnsi="宋体" w:cs="宋体"/>
          <w:i w:val="0"/>
          <w:iCs w:val="0"/>
          <w:color w:val="auto"/>
          <w:highlight w:val="none"/>
        </w:rPr>
        <w:br w:type="page"/>
      </w:r>
      <w:bookmarkStart w:id="304" w:name="_Toc31405"/>
      <w:bookmarkStart w:id="305" w:name="_Toc23485"/>
      <w:r>
        <w:rPr>
          <w:rFonts w:hint="eastAsia"/>
          <w:b/>
          <w:bCs/>
          <w:sz w:val="30"/>
          <w:szCs w:val="30"/>
          <w:lang w:val="en-US" w:eastAsia="zh-CN"/>
        </w:rPr>
        <w:t>格式8：</w:t>
      </w:r>
      <w:bookmarkEnd w:id="304"/>
      <w:bookmarkEnd w:id="305"/>
    </w:p>
    <w:p w14:paraId="1D1B8182">
      <w:pPr>
        <w:rPr>
          <w:rFonts w:ascii="宋体" w:hAnsi="宋体" w:cs="宋体"/>
          <w:i w:val="0"/>
          <w:iCs w:val="0"/>
          <w:color w:val="auto"/>
          <w:highlight w:val="none"/>
        </w:rPr>
      </w:pPr>
    </w:p>
    <w:bookmarkEnd w:id="303"/>
    <w:p w14:paraId="211EFEC3">
      <w:pPr>
        <w:bidi w:val="0"/>
        <w:jc w:val="center"/>
        <w:rPr>
          <w:rFonts w:hint="default"/>
          <w:b/>
          <w:bCs/>
          <w:sz w:val="28"/>
          <w:szCs w:val="28"/>
          <w:lang w:val="en-US" w:eastAsia="zh-CN"/>
        </w:rPr>
      </w:pPr>
      <w:r>
        <w:rPr>
          <w:rFonts w:hint="eastAsia"/>
          <w:b/>
          <w:bCs/>
          <w:sz w:val="28"/>
          <w:szCs w:val="28"/>
          <w:lang w:val="en-US" w:eastAsia="zh-CN"/>
        </w:rPr>
        <w:t>项目实施及技术培训方案</w:t>
      </w:r>
    </w:p>
    <w:p w14:paraId="5E8FB6EB">
      <w:pPr>
        <w:jc w:val="center"/>
        <w:rPr>
          <w:rFonts w:ascii="宋体" w:hAnsi="宋体" w:cs="宋体"/>
          <w:i w:val="0"/>
          <w:iCs w:val="0"/>
          <w:color w:val="auto"/>
          <w:highlight w:val="none"/>
        </w:rPr>
      </w:pPr>
      <w:bookmarkStart w:id="306" w:name="_Toc5548387"/>
      <w:r>
        <w:rPr>
          <w:rFonts w:hint="eastAsia" w:ascii="宋体" w:hAnsi="宋体" w:cs="宋体"/>
          <w:i w:val="0"/>
          <w:iCs w:val="0"/>
          <w:color w:val="auto"/>
          <w:sz w:val="24"/>
          <w:szCs w:val="24"/>
          <w:highlight w:val="none"/>
        </w:rPr>
        <w:t xml:space="preserve"> </w:t>
      </w:r>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p>
    <w:p w14:paraId="1110F663">
      <w:pPr>
        <w:autoSpaceDE w:val="0"/>
        <w:spacing w:line="360" w:lineRule="auto"/>
        <w:rPr>
          <w:rFonts w:ascii="宋体" w:hAnsi="宋体" w:cs="宋体"/>
          <w:i w:val="0"/>
          <w:iCs w:val="0"/>
          <w:color w:val="auto"/>
          <w:highlight w:val="none"/>
        </w:rPr>
      </w:pPr>
      <w:r>
        <w:rPr>
          <w:rFonts w:hint="eastAsia" w:ascii="宋体" w:hAnsi="宋体" w:cs="宋体"/>
          <w:i w:val="0"/>
          <w:iCs w:val="0"/>
          <w:color w:val="auto"/>
          <w:highlight w:val="none"/>
        </w:rPr>
        <w:br w:type="page"/>
      </w:r>
    </w:p>
    <w:p w14:paraId="7FC411E5">
      <w:pPr>
        <w:bidi w:val="0"/>
        <w:jc w:val="left"/>
        <w:rPr>
          <w:rFonts w:hint="eastAsia"/>
          <w:b/>
          <w:bCs/>
          <w:sz w:val="30"/>
          <w:szCs w:val="30"/>
          <w:lang w:val="en-US" w:eastAsia="zh-CN"/>
        </w:rPr>
      </w:pPr>
      <w:bookmarkStart w:id="307" w:name="_Toc31090"/>
      <w:bookmarkStart w:id="308" w:name="_Toc32725"/>
      <w:r>
        <w:rPr>
          <w:rFonts w:hint="eastAsia"/>
          <w:b/>
          <w:bCs/>
          <w:sz w:val="30"/>
          <w:szCs w:val="30"/>
          <w:lang w:val="en-US" w:eastAsia="zh-CN"/>
        </w:rPr>
        <w:t>格式9：</w:t>
      </w:r>
      <w:bookmarkEnd w:id="307"/>
      <w:bookmarkEnd w:id="308"/>
    </w:p>
    <w:p w14:paraId="4147D17D">
      <w:pPr>
        <w:rPr>
          <w:rFonts w:ascii="宋体" w:hAnsi="宋体" w:cs="宋体"/>
          <w:i w:val="0"/>
          <w:iCs w:val="0"/>
          <w:color w:val="auto"/>
          <w:highlight w:val="none"/>
        </w:rPr>
      </w:pPr>
    </w:p>
    <w:p w14:paraId="349A8D90">
      <w:pPr>
        <w:bidi w:val="0"/>
        <w:jc w:val="center"/>
        <w:rPr>
          <w:rFonts w:hint="eastAsia"/>
          <w:b/>
          <w:bCs/>
          <w:sz w:val="28"/>
          <w:szCs w:val="28"/>
        </w:rPr>
      </w:pPr>
      <w:bookmarkStart w:id="309" w:name="_Toc10561"/>
      <w:r>
        <w:rPr>
          <w:rFonts w:hint="eastAsia"/>
          <w:b/>
          <w:bCs/>
          <w:sz w:val="28"/>
          <w:szCs w:val="28"/>
        </w:rPr>
        <w:t>质量承诺及保证措施</w:t>
      </w:r>
      <w:bookmarkEnd w:id="309"/>
    </w:p>
    <w:p w14:paraId="02C56255">
      <w:pPr>
        <w:jc w:val="center"/>
        <w:rPr>
          <w:rFonts w:ascii="宋体" w:hAnsi="宋体" w:cs="宋体"/>
          <w:i w:val="0"/>
          <w:iCs w:val="0"/>
          <w:color w:val="auto"/>
          <w:highlight w:val="none"/>
        </w:rPr>
      </w:pPr>
      <w:r>
        <w:rPr>
          <w:rFonts w:hint="eastAsia" w:ascii="宋体" w:hAnsi="宋体" w:cs="宋体"/>
          <w:i w:val="0"/>
          <w:iCs w:val="0"/>
          <w:color w:val="auto"/>
          <w:sz w:val="24"/>
          <w:szCs w:val="24"/>
          <w:highlight w:val="none"/>
        </w:rPr>
        <w:t xml:space="preserve"> </w:t>
      </w:r>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p>
    <w:p w14:paraId="22CB9109">
      <w:pPr>
        <w:bidi w:val="0"/>
        <w:rPr>
          <w:rFonts w:hint="eastAsia" w:ascii="宋体" w:hAnsi="宋体" w:eastAsia="宋体" w:cs="宋体"/>
          <w:b/>
          <w:bCs/>
          <w:sz w:val="28"/>
          <w:szCs w:val="28"/>
          <w:lang w:val="en-US" w:eastAsia="zh-CN"/>
        </w:rPr>
      </w:pPr>
      <w:r>
        <w:rPr>
          <w:rFonts w:hint="eastAsia" w:ascii="宋体" w:hAnsi="宋体" w:cs="宋体"/>
          <w:i w:val="0"/>
          <w:iCs w:val="0"/>
          <w:color w:val="auto"/>
          <w:highlight w:val="none"/>
        </w:rPr>
        <w:br w:type="page"/>
      </w:r>
      <w:bookmarkStart w:id="310" w:name="_Toc9062"/>
      <w:bookmarkStart w:id="311" w:name="_Toc6046"/>
      <w:r>
        <w:rPr>
          <w:rFonts w:hint="eastAsia"/>
          <w:b/>
          <w:bCs/>
          <w:sz w:val="30"/>
          <w:szCs w:val="30"/>
          <w:lang w:val="en-US" w:eastAsia="zh-CN"/>
        </w:rPr>
        <w:t>格式10：</w:t>
      </w:r>
      <w:bookmarkEnd w:id="310"/>
      <w:bookmarkEnd w:id="311"/>
    </w:p>
    <w:bookmarkEnd w:id="306"/>
    <w:p w14:paraId="39FD88B5">
      <w:pPr>
        <w:bidi w:val="0"/>
        <w:jc w:val="center"/>
        <w:rPr>
          <w:rFonts w:hint="eastAsia"/>
          <w:b/>
          <w:bCs/>
          <w:sz w:val="28"/>
          <w:szCs w:val="28"/>
        </w:rPr>
      </w:pPr>
      <w:r>
        <w:rPr>
          <w:rFonts w:hint="eastAsia"/>
          <w:b/>
          <w:bCs/>
          <w:sz w:val="28"/>
          <w:szCs w:val="28"/>
        </w:rPr>
        <w:t>售后服务方案</w:t>
      </w:r>
    </w:p>
    <w:p w14:paraId="2CAFCB96">
      <w:pPr>
        <w:jc w:val="center"/>
        <w:rPr>
          <w:rFonts w:hint="eastAsia" w:ascii="宋体" w:hAnsi="宋体" w:cs="宋体"/>
          <w:i w:val="0"/>
          <w:iCs w:val="0"/>
          <w:color w:val="auto"/>
          <w:highlight w:val="none"/>
        </w:rPr>
      </w:pPr>
      <w:r>
        <w:rPr>
          <w:rFonts w:hint="eastAsia" w:ascii="宋体" w:hAnsi="宋体" w:cs="宋体"/>
          <w:i w:val="0"/>
          <w:iCs w:val="0"/>
          <w:color w:val="auto"/>
          <w:sz w:val="24"/>
          <w:highlight w:val="none"/>
        </w:rPr>
        <w:t>(由投标人根据</w:t>
      </w:r>
      <w:r>
        <w:rPr>
          <w:rFonts w:hint="eastAsia" w:ascii="宋体" w:hAnsi="宋体" w:cs="宋体"/>
          <w:i w:val="0"/>
          <w:iCs w:val="0"/>
          <w:color w:val="auto"/>
          <w:sz w:val="24"/>
          <w:highlight w:val="none"/>
          <w:lang w:eastAsia="zh-CN"/>
        </w:rPr>
        <w:t>招标文件</w:t>
      </w:r>
      <w:r>
        <w:rPr>
          <w:rFonts w:hint="eastAsia" w:ascii="宋体" w:hAnsi="宋体" w:cs="宋体"/>
          <w:i w:val="0"/>
          <w:iCs w:val="0"/>
          <w:color w:val="auto"/>
          <w:sz w:val="24"/>
          <w:highlight w:val="none"/>
        </w:rPr>
        <w:t>要求及自身实际情况自行编写)</w:t>
      </w:r>
      <w:r>
        <w:rPr>
          <w:rFonts w:hint="eastAsia" w:ascii="宋体" w:hAnsi="宋体" w:cs="宋体"/>
          <w:i w:val="0"/>
          <w:iCs w:val="0"/>
          <w:color w:val="auto"/>
          <w:highlight w:val="none"/>
        </w:rPr>
        <w:br w:type="page"/>
      </w:r>
    </w:p>
    <w:p w14:paraId="4CD7838C">
      <w:pPr>
        <w:bidi w:val="0"/>
        <w:rPr>
          <w:rFonts w:hint="eastAsia" w:ascii="宋体" w:hAnsi="宋体" w:eastAsia="宋体" w:cs="宋体"/>
          <w:b/>
          <w:bCs/>
          <w:sz w:val="30"/>
          <w:szCs w:val="30"/>
        </w:rPr>
      </w:pPr>
      <w:bookmarkStart w:id="312" w:name="_Toc4937"/>
      <w:bookmarkStart w:id="313" w:name="_Toc12958"/>
      <w:r>
        <w:rPr>
          <w:rFonts w:hint="eastAsia" w:ascii="宋体" w:hAnsi="宋体" w:eastAsia="宋体" w:cs="宋体"/>
          <w:b/>
          <w:bCs/>
          <w:sz w:val="30"/>
          <w:szCs w:val="30"/>
        </w:rPr>
        <w:t>格式1</w:t>
      </w:r>
      <w:r>
        <w:rPr>
          <w:rFonts w:hint="eastAsia" w:ascii="宋体" w:hAnsi="宋体" w:eastAsia="宋体" w:cs="宋体"/>
          <w:b/>
          <w:bCs/>
          <w:sz w:val="30"/>
          <w:szCs w:val="30"/>
          <w:lang w:val="en-US" w:eastAsia="zh-CN"/>
        </w:rPr>
        <w:t>1</w:t>
      </w:r>
      <w:r>
        <w:rPr>
          <w:rFonts w:hint="eastAsia" w:ascii="宋体" w:hAnsi="宋体" w:eastAsia="宋体" w:cs="宋体"/>
          <w:b/>
          <w:bCs/>
          <w:sz w:val="30"/>
          <w:szCs w:val="30"/>
        </w:rPr>
        <w:t>：</w:t>
      </w:r>
      <w:bookmarkEnd w:id="312"/>
      <w:bookmarkEnd w:id="313"/>
    </w:p>
    <w:p w14:paraId="70402EBA">
      <w:pPr>
        <w:rPr>
          <w:i w:val="0"/>
          <w:iCs w:val="0"/>
          <w:color w:val="auto"/>
          <w:highlight w:val="none"/>
        </w:rPr>
      </w:pPr>
    </w:p>
    <w:p w14:paraId="1CE0B5F2">
      <w:pPr>
        <w:bidi w:val="0"/>
        <w:jc w:val="center"/>
        <w:rPr>
          <w:rFonts w:hint="eastAsia"/>
          <w:b/>
          <w:bCs/>
          <w:sz w:val="28"/>
          <w:szCs w:val="28"/>
          <w:lang w:val="en-US" w:eastAsia="zh-CN"/>
        </w:rPr>
      </w:pPr>
      <w:bookmarkStart w:id="314" w:name="_Toc1840"/>
      <w:bookmarkStart w:id="315" w:name="_Toc1971"/>
      <w:r>
        <w:rPr>
          <w:rFonts w:hint="eastAsia"/>
          <w:b/>
          <w:bCs/>
          <w:sz w:val="28"/>
          <w:szCs w:val="28"/>
          <w:lang w:val="en-US" w:eastAsia="zh-CN"/>
        </w:rPr>
        <w:t>成功案例表</w:t>
      </w:r>
      <w:bookmarkEnd w:id="314"/>
      <w:bookmarkEnd w:id="315"/>
    </w:p>
    <w:tbl>
      <w:tblPr>
        <w:tblStyle w:val="34"/>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2107"/>
        <w:gridCol w:w="1254"/>
        <w:gridCol w:w="1685"/>
        <w:gridCol w:w="1442"/>
        <w:gridCol w:w="1442"/>
        <w:gridCol w:w="1049"/>
      </w:tblGrid>
      <w:tr w14:paraId="3B5A1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977" w:type="dxa"/>
            <w:vAlign w:val="center"/>
          </w:tcPr>
          <w:p w14:paraId="5A108D2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序号</w:t>
            </w:r>
          </w:p>
        </w:tc>
        <w:tc>
          <w:tcPr>
            <w:tcW w:w="2107" w:type="dxa"/>
            <w:vAlign w:val="center"/>
          </w:tcPr>
          <w:p w14:paraId="0743F65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合同名称</w:t>
            </w:r>
          </w:p>
        </w:tc>
        <w:tc>
          <w:tcPr>
            <w:tcW w:w="1254" w:type="dxa"/>
            <w:vAlign w:val="center"/>
          </w:tcPr>
          <w:p w14:paraId="3F334D1F">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合同总价</w:t>
            </w:r>
          </w:p>
        </w:tc>
        <w:tc>
          <w:tcPr>
            <w:tcW w:w="1685" w:type="dxa"/>
            <w:vAlign w:val="center"/>
          </w:tcPr>
          <w:p w14:paraId="7C949B70">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使用单位名称</w:t>
            </w:r>
          </w:p>
        </w:tc>
        <w:tc>
          <w:tcPr>
            <w:tcW w:w="1442" w:type="dxa"/>
          </w:tcPr>
          <w:p w14:paraId="459C62E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使用单位联系人及联系电话</w:t>
            </w:r>
          </w:p>
        </w:tc>
        <w:tc>
          <w:tcPr>
            <w:tcW w:w="1442" w:type="dxa"/>
            <w:vAlign w:val="center"/>
          </w:tcPr>
          <w:p w14:paraId="0BAB393C">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签订合同时间</w:t>
            </w:r>
          </w:p>
        </w:tc>
        <w:tc>
          <w:tcPr>
            <w:tcW w:w="1049" w:type="dxa"/>
            <w:vAlign w:val="center"/>
          </w:tcPr>
          <w:p w14:paraId="5965467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备注</w:t>
            </w:r>
          </w:p>
        </w:tc>
      </w:tr>
      <w:tr w14:paraId="00C0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3C5E082B">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1</w:t>
            </w:r>
          </w:p>
        </w:tc>
        <w:tc>
          <w:tcPr>
            <w:tcW w:w="2107" w:type="dxa"/>
            <w:vAlign w:val="center"/>
          </w:tcPr>
          <w:p w14:paraId="2B298D35">
            <w:pPr>
              <w:jc w:val="center"/>
              <w:rPr>
                <w:rFonts w:ascii="宋体" w:hAnsi="宋体" w:cs="宋体"/>
                <w:i w:val="0"/>
                <w:iCs w:val="0"/>
                <w:color w:val="auto"/>
                <w:sz w:val="24"/>
                <w:highlight w:val="none"/>
              </w:rPr>
            </w:pPr>
          </w:p>
        </w:tc>
        <w:tc>
          <w:tcPr>
            <w:tcW w:w="1254" w:type="dxa"/>
            <w:vAlign w:val="center"/>
          </w:tcPr>
          <w:p w14:paraId="611379F7">
            <w:pPr>
              <w:jc w:val="center"/>
              <w:rPr>
                <w:rFonts w:ascii="宋体" w:hAnsi="宋体" w:cs="宋体"/>
                <w:i w:val="0"/>
                <w:iCs w:val="0"/>
                <w:color w:val="auto"/>
                <w:sz w:val="24"/>
                <w:highlight w:val="none"/>
              </w:rPr>
            </w:pPr>
          </w:p>
        </w:tc>
        <w:tc>
          <w:tcPr>
            <w:tcW w:w="1685" w:type="dxa"/>
            <w:vAlign w:val="center"/>
          </w:tcPr>
          <w:p w14:paraId="373E741E">
            <w:pPr>
              <w:jc w:val="center"/>
              <w:rPr>
                <w:rFonts w:ascii="宋体" w:hAnsi="宋体" w:cs="宋体"/>
                <w:i w:val="0"/>
                <w:iCs w:val="0"/>
                <w:color w:val="auto"/>
                <w:sz w:val="24"/>
                <w:highlight w:val="none"/>
              </w:rPr>
            </w:pPr>
          </w:p>
        </w:tc>
        <w:tc>
          <w:tcPr>
            <w:tcW w:w="1442" w:type="dxa"/>
          </w:tcPr>
          <w:p w14:paraId="0097A501">
            <w:pPr>
              <w:jc w:val="center"/>
              <w:rPr>
                <w:rFonts w:ascii="宋体" w:hAnsi="宋体" w:cs="宋体"/>
                <w:i w:val="0"/>
                <w:iCs w:val="0"/>
                <w:color w:val="auto"/>
                <w:sz w:val="24"/>
                <w:highlight w:val="none"/>
              </w:rPr>
            </w:pPr>
          </w:p>
        </w:tc>
        <w:tc>
          <w:tcPr>
            <w:tcW w:w="1442" w:type="dxa"/>
            <w:vAlign w:val="center"/>
          </w:tcPr>
          <w:p w14:paraId="502D1E03">
            <w:pPr>
              <w:jc w:val="center"/>
              <w:rPr>
                <w:rFonts w:ascii="宋体" w:hAnsi="宋体" w:cs="宋体"/>
                <w:i w:val="0"/>
                <w:iCs w:val="0"/>
                <w:color w:val="auto"/>
                <w:sz w:val="24"/>
                <w:highlight w:val="none"/>
              </w:rPr>
            </w:pPr>
          </w:p>
        </w:tc>
        <w:tc>
          <w:tcPr>
            <w:tcW w:w="1049" w:type="dxa"/>
            <w:vAlign w:val="center"/>
          </w:tcPr>
          <w:p w14:paraId="3F6A2355">
            <w:pPr>
              <w:jc w:val="center"/>
              <w:rPr>
                <w:rFonts w:ascii="宋体" w:hAnsi="宋体" w:cs="宋体"/>
                <w:i w:val="0"/>
                <w:iCs w:val="0"/>
                <w:color w:val="auto"/>
                <w:sz w:val="24"/>
                <w:highlight w:val="none"/>
              </w:rPr>
            </w:pPr>
          </w:p>
        </w:tc>
      </w:tr>
      <w:tr w14:paraId="76BD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DFF20B9">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2</w:t>
            </w:r>
          </w:p>
        </w:tc>
        <w:tc>
          <w:tcPr>
            <w:tcW w:w="2107" w:type="dxa"/>
            <w:vAlign w:val="center"/>
          </w:tcPr>
          <w:p w14:paraId="6267F3AD">
            <w:pPr>
              <w:jc w:val="center"/>
              <w:rPr>
                <w:rFonts w:ascii="宋体" w:hAnsi="宋体" w:cs="宋体"/>
                <w:i w:val="0"/>
                <w:iCs w:val="0"/>
                <w:color w:val="auto"/>
                <w:sz w:val="24"/>
                <w:highlight w:val="none"/>
              </w:rPr>
            </w:pPr>
          </w:p>
        </w:tc>
        <w:tc>
          <w:tcPr>
            <w:tcW w:w="1254" w:type="dxa"/>
            <w:vAlign w:val="center"/>
          </w:tcPr>
          <w:p w14:paraId="28248AA8">
            <w:pPr>
              <w:jc w:val="center"/>
              <w:rPr>
                <w:rFonts w:ascii="宋体" w:hAnsi="宋体" w:cs="宋体"/>
                <w:i w:val="0"/>
                <w:iCs w:val="0"/>
                <w:color w:val="auto"/>
                <w:sz w:val="24"/>
                <w:highlight w:val="none"/>
              </w:rPr>
            </w:pPr>
          </w:p>
        </w:tc>
        <w:tc>
          <w:tcPr>
            <w:tcW w:w="1685" w:type="dxa"/>
            <w:vAlign w:val="center"/>
          </w:tcPr>
          <w:p w14:paraId="1ED3DABF">
            <w:pPr>
              <w:rPr>
                <w:rFonts w:ascii="宋体" w:hAnsi="宋体" w:cs="宋体"/>
                <w:i w:val="0"/>
                <w:iCs w:val="0"/>
                <w:color w:val="auto"/>
                <w:sz w:val="24"/>
                <w:highlight w:val="none"/>
              </w:rPr>
            </w:pPr>
            <w:r>
              <w:rPr>
                <w:rFonts w:hint="eastAsia" w:ascii="宋体" w:hAnsi="宋体" w:cs="宋体"/>
                <w:i w:val="0"/>
                <w:iCs w:val="0"/>
                <w:color w:val="auto"/>
                <w:sz w:val="24"/>
                <w:highlight w:val="none"/>
              </w:rPr>
              <w:t xml:space="preserve">      </w:t>
            </w:r>
          </w:p>
        </w:tc>
        <w:tc>
          <w:tcPr>
            <w:tcW w:w="1442" w:type="dxa"/>
          </w:tcPr>
          <w:p w14:paraId="6F6D19B0">
            <w:pPr>
              <w:jc w:val="center"/>
              <w:rPr>
                <w:rFonts w:ascii="宋体" w:hAnsi="宋体" w:cs="宋体"/>
                <w:i w:val="0"/>
                <w:iCs w:val="0"/>
                <w:color w:val="auto"/>
                <w:sz w:val="24"/>
                <w:highlight w:val="none"/>
              </w:rPr>
            </w:pPr>
          </w:p>
        </w:tc>
        <w:tc>
          <w:tcPr>
            <w:tcW w:w="1442" w:type="dxa"/>
            <w:vAlign w:val="center"/>
          </w:tcPr>
          <w:p w14:paraId="73A14057">
            <w:pPr>
              <w:jc w:val="center"/>
              <w:rPr>
                <w:rFonts w:ascii="宋体" w:hAnsi="宋体" w:cs="宋体"/>
                <w:i w:val="0"/>
                <w:iCs w:val="0"/>
                <w:color w:val="auto"/>
                <w:sz w:val="24"/>
                <w:highlight w:val="none"/>
              </w:rPr>
            </w:pPr>
          </w:p>
        </w:tc>
        <w:tc>
          <w:tcPr>
            <w:tcW w:w="1049" w:type="dxa"/>
            <w:vAlign w:val="center"/>
          </w:tcPr>
          <w:p w14:paraId="2A79904F">
            <w:pPr>
              <w:jc w:val="center"/>
              <w:rPr>
                <w:rFonts w:ascii="宋体" w:hAnsi="宋体" w:cs="宋体"/>
                <w:i w:val="0"/>
                <w:iCs w:val="0"/>
                <w:color w:val="auto"/>
                <w:sz w:val="24"/>
                <w:highlight w:val="none"/>
              </w:rPr>
            </w:pPr>
          </w:p>
        </w:tc>
      </w:tr>
      <w:tr w14:paraId="10720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947D116">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3</w:t>
            </w:r>
          </w:p>
        </w:tc>
        <w:tc>
          <w:tcPr>
            <w:tcW w:w="2107" w:type="dxa"/>
            <w:vAlign w:val="center"/>
          </w:tcPr>
          <w:p w14:paraId="6637A6A3">
            <w:pPr>
              <w:jc w:val="center"/>
              <w:rPr>
                <w:rFonts w:ascii="宋体" w:hAnsi="宋体" w:cs="宋体"/>
                <w:i w:val="0"/>
                <w:iCs w:val="0"/>
                <w:color w:val="auto"/>
                <w:sz w:val="24"/>
                <w:highlight w:val="none"/>
              </w:rPr>
            </w:pPr>
          </w:p>
        </w:tc>
        <w:tc>
          <w:tcPr>
            <w:tcW w:w="1254" w:type="dxa"/>
            <w:vAlign w:val="center"/>
          </w:tcPr>
          <w:p w14:paraId="34B18711">
            <w:pPr>
              <w:jc w:val="center"/>
              <w:rPr>
                <w:rFonts w:ascii="宋体" w:hAnsi="宋体" w:cs="宋体"/>
                <w:i w:val="0"/>
                <w:iCs w:val="0"/>
                <w:color w:val="auto"/>
                <w:sz w:val="24"/>
                <w:highlight w:val="none"/>
              </w:rPr>
            </w:pPr>
          </w:p>
        </w:tc>
        <w:tc>
          <w:tcPr>
            <w:tcW w:w="1685" w:type="dxa"/>
            <w:vAlign w:val="center"/>
          </w:tcPr>
          <w:p w14:paraId="4A875A7F">
            <w:pPr>
              <w:jc w:val="center"/>
              <w:rPr>
                <w:rFonts w:ascii="宋体" w:hAnsi="宋体" w:cs="宋体"/>
                <w:i w:val="0"/>
                <w:iCs w:val="0"/>
                <w:color w:val="auto"/>
                <w:sz w:val="24"/>
                <w:highlight w:val="none"/>
              </w:rPr>
            </w:pPr>
          </w:p>
        </w:tc>
        <w:tc>
          <w:tcPr>
            <w:tcW w:w="1442" w:type="dxa"/>
          </w:tcPr>
          <w:p w14:paraId="1D94BDFD">
            <w:pPr>
              <w:jc w:val="center"/>
              <w:rPr>
                <w:rFonts w:ascii="宋体" w:hAnsi="宋体" w:cs="宋体"/>
                <w:i w:val="0"/>
                <w:iCs w:val="0"/>
                <w:color w:val="auto"/>
                <w:sz w:val="24"/>
                <w:highlight w:val="none"/>
              </w:rPr>
            </w:pPr>
          </w:p>
        </w:tc>
        <w:tc>
          <w:tcPr>
            <w:tcW w:w="1442" w:type="dxa"/>
            <w:vAlign w:val="center"/>
          </w:tcPr>
          <w:p w14:paraId="5D592F5A">
            <w:pPr>
              <w:jc w:val="center"/>
              <w:rPr>
                <w:rFonts w:ascii="宋体" w:hAnsi="宋体" w:cs="宋体"/>
                <w:i w:val="0"/>
                <w:iCs w:val="0"/>
                <w:color w:val="auto"/>
                <w:sz w:val="24"/>
                <w:highlight w:val="none"/>
              </w:rPr>
            </w:pPr>
          </w:p>
        </w:tc>
        <w:tc>
          <w:tcPr>
            <w:tcW w:w="1049" w:type="dxa"/>
            <w:vAlign w:val="center"/>
          </w:tcPr>
          <w:p w14:paraId="3CBF31DD">
            <w:pPr>
              <w:jc w:val="center"/>
              <w:rPr>
                <w:rFonts w:ascii="宋体" w:hAnsi="宋体" w:cs="宋体"/>
                <w:i w:val="0"/>
                <w:iCs w:val="0"/>
                <w:color w:val="auto"/>
                <w:sz w:val="24"/>
                <w:highlight w:val="none"/>
              </w:rPr>
            </w:pPr>
          </w:p>
        </w:tc>
      </w:tr>
      <w:tr w14:paraId="29FB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381D2C4">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4</w:t>
            </w:r>
          </w:p>
        </w:tc>
        <w:tc>
          <w:tcPr>
            <w:tcW w:w="2107" w:type="dxa"/>
            <w:vAlign w:val="center"/>
          </w:tcPr>
          <w:p w14:paraId="61424D9D">
            <w:pPr>
              <w:jc w:val="center"/>
              <w:rPr>
                <w:rFonts w:ascii="宋体" w:hAnsi="宋体" w:cs="宋体"/>
                <w:i w:val="0"/>
                <w:iCs w:val="0"/>
                <w:color w:val="auto"/>
                <w:sz w:val="24"/>
                <w:highlight w:val="none"/>
              </w:rPr>
            </w:pPr>
          </w:p>
        </w:tc>
        <w:tc>
          <w:tcPr>
            <w:tcW w:w="1254" w:type="dxa"/>
            <w:vAlign w:val="center"/>
          </w:tcPr>
          <w:p w14:paraId="40D9EF30">
            <w:pPr>
              <w:jc w:val="center"/>
              <w:rPr>
                <w:rFonts w:ascii="宋体" w:hAnsi="宋体" w:cs="宋体"/>
                <w:i w:val="0"/>
                <w:iCs w:val="0"/>
                <w:color w:val="auto"/>
                <w:sz w:val="24"/>
                <w:highlight w:val="none"/>
              </w:rPr>
            </w:pPr>
          </w:p>
        </w:tc>
        <w:tc>
          <w:tcPr>
            <w:tcW w:w="1685" w:type="dxa"/>
            <w:vAlign w:val="center"/>
          </w:tcPr>
          <w:p w14:paraId="2887E50C">
            <w:pPr>
              <w:jc w:val="center"/>
              <w:rPr>
                <w:rFonts w:ascii="宋体" w:hAnsi="宋体" w:cs="宋体"/>
                <w:i w:val="0"/>
                <w:iCs w:val="0"/>
                <w:color w:val="auto"/>
                <w:sz w:val="24"/>
                <w:highlight w:val="none"/>
              </w:rPr>
            </w:pPr>
          </w:p>
        </w:tc>
        <w:tc>
          <w:tcPr>
            <w:tcW w:w="1442" w:type="dxa"/>
          </w:tcPr>
          <w:p w14:paraId="0D41868B">
            <w:pPr>
              <w:jc w:val="center"/>
              <w:rPr>
                <w:rFonts w:ascii="宋体" w:hAnsi="宋体" w:cs="宋体"/>
                <w:i w:val="0"/>
                <w:iCs w:val="0"/>
                <w:color w:val="auto"/>
                <w:sz w:val="24"/>
                <w:highlight w:val="none"/>
              </w:rPr>
            </w:pPr>
          </w:p>
        </w:tc>
        <w:tc>
          <w:tcPr>
            <w:tcW w:w="1442" w:type="dxa"/>
            <w:vAlign w:val="center"/>
          </w:tcPr>
          <w:p w14:paraId="294C2036">
            <w:pPr>
              <w:jc w:val="center"/>
              <w:rPr>
                <w:rFonts w:ascii="宋体" w:hAnsi="宋体" w:cs="宋体"/>
                <w:i w:val="0"/>
                <w:iCs w:val="0"/>
                <w:color w:val="auto"/>
                <w:sz w:val="24"/>
                <w:highlight w:val="none"/>
              </w:rPr>
            </w:pPr>
          </w:p>
        </w:tc>
        <w:tc>
          <w:tcPr>
            <w:tcW w:w="1049" w:type="dxa"/>
            <w:vAlign w:val="center"/>
          </w:tcPr>
          <w:p w14:paraId="34660A80">
            <w:pPr>
              <w:jc w:val="center"/>
              <w:rPr>
                <w:rFonts w:ascii="宋体" w:hAnsi="宋体" w:cs="宋体"/>
                <w:i w:val="0"/>
                <w:iCs w:val="0"/>
                <w:color w:val="auto"/>
                <w:sz w:val="24"/>
                <w:highlight w:val="none"/>
              </w:rPr>
            </w:pPr>
          </w:p>
        </w:tc>
      </w:tr>
      <w:tr w14:paraId="155CD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3A3756A1">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5</w:t>
            </w:r>
          </w:p>
        </w:tc>
        <w:tc>
          <w:tcPr>
            <w:tcW w:w="2107" w:type="dxa"/>
            <w:vAlign w:val="center"/>
          </w:tcPr>
          <w:p w14:paraId="12728814">
            <w:pPr>
              <w:jc w:val="center"/>
              <w:rPr>
                <w:rFonts w:ascii="宋体" w:hAnsi="宋体" w:cs="宋体"/>
                <w:i w:val="0"/>
                <w:iCs w:val="0"/>
                <w:color w:val="auto"/>
                <w:sz w:val="24"/>
                <w:highlight w:val="none"/>
              </w:rPr>
            </w:pPr>
          </w:p>
        </w:tc>
        <w:tc>
          <w:tcPr>
            <w:tcW w:w="1254" w:type="dxa"/>
            <w:vAlign w:val="center"/>
          </w:tcPr>
          <w:p w14:paraId="0CE393AA">
            <w:pPr>
              <w:jc w:val="center"/>
              <w:rPr>
                <w:rFonts w:ascii="宋体" w:hAnsi="宋体" w:cs="宋体"/>
                <w:i w:val="0"/>
                <w:iCs w:val="0"/>
                <w:color w:val="auto"/>
                <w:sz w:val="24"/>
                <w:highlight w:val="none"/>
              </w:rPr>
            </w:pPr>
          </w:p>
        </w:tc>
        <w:tc>
          <w:tcPr>
            <w:tcW w:w="1685" w:type="dxa"/>
            <w:vAlign w:val="center"/>
          </w:tcPr>
          <w:p w14:paraId="1B241C60">
            <w:pPr>
              <w:jc w:val="center"/>
              <w:rPr>
                <w:rFonts w:ascii="宋体" w:hAnsi="宋体" w:cs="宋体"/>
                <w:i w:val="0"/>
                <w:iCs w:val="0"/>
                <w:color w:val="auto"/>
                <w:sz w:val="24"/>
                <w:highlight w:val="none"/>
              </w:rPr>
            </w:pPr>
          </w:p>
        </w:tc>
        <w:tc>
          <w:tcPr>
            <w:tcW w:w="1442" w:type="dxa"/>
          </w:tcPr>
          <w:p w14:paraId="64A12D09">
            <w:pPr>
              <w:jc w:val="center"/>
              <w:rPr>
                <w:rFonts w:ascii="宋体" w:hAnsi="宋体" w:cs="宋体"/>
                <w:i w:val="0"/>
                <w:iCs w:val="0"/>
                <w:color w:val="auto"/>
                <w:sz w:val="24"/>
                <w:highlight w:val="none"/>
              </w:rPr>
            </w:pPr>
          </w:p>
        </w:tc>
        <w:tc>
          <w:tcPr>
            <w:tcW w:w="1442" w:type="dxa"/>
            <w:vAlign w:val="center"/>
          </w:tcPr>
          <w:p w14:paraId="4C2EB303">
            <w:pPr>
              <w:jc w:val="center"/>
              <w:rPr>
                <w:rFonts w:ascii="宋体" w:hAnsi="宋体" w:cs="宋体"/>
                <w:i w:val="0"/>
                <w:iCs w:val="0"/>
                <w:color w:val="auto"/>
                <w:sz w:val="24"/>
                <w:highlight w:val="none"/>
              </w:rPr>
            </w:pPr>
          </w:p>
        </w:tc>
        <w:tc>
          <w:tcPr>
            <w:tcW w:w="1049" w:type="dxa"/>
            <w:vAlign w:val="center"/>
          </w:tcPr>
          <w:p w14:paraId="24BB50C5">
            <w:pPr>
              <w:jc w:val="center"/>
              <w:rPr>
                <w:rFonts w:ascii="宋体" w:hAnsi="宋体" w:cs="宋体"/>
                <w:i w:val="0"/>
                <w:iCs w:val="0"/>
                <w:color w:val="auto"/>
                <w:sz w:val="24"/>
                <w:highlight w:val="none"/>
              </w:rPr>
            </w:pPr>
          </w:p>
        </w:tc>
      </w:tr>
      <w:tr w14:paraId="7139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4FC51F2A">
            <w:pPr>
              <w:jc w:val="center"/>
              <w:rPr>
                <w:rFonts w:ascii="宋体" w:hAnsi="宋体" w:cs="宋体"/>
                <w:i w:val="0"/>
                <w:iCs w:val="0"/>
                <w:color w:val="auto"/>
                <w:sz w:val="24"/>
                <w:highlight w:val="none"/>
              </w:rPr>
            </w:pPr>
            <w:r>
              <w:rPr>
                <w:rFonts w:hint="eastAsia" w:ascii="宋体" w:hAnsi="宋体" w:cs="宋体"/>
                <w:i w:val="0"/>
                <w:iCs w:val="0"/>
                <w:color w:val="auto"/>
                <w:sz w:val="24"/>
                <w:highlight w:val="none"/>
              </w:rPr>
              <w:t>…</w:t>
            </w:r>
          </w:p>
        </w:tc>
        <w:tc>
          <w:tcPr>
            <w:tcW w:w="2107" w:type="dxa"/>
            <w:vAlign w:val="center"/>
          </w:tcPr>
          <w:p w14:paraId="796C0C95">
            <w:pPr>
              <w:jc w:val="center"/>
              <w:rPr>
                <w:rFonts w:ascii="宋体" w:hAnsi="宋体" w:cs="宋体"/>
                <w:i w:val="0"/>
                <w:iCs w:val="0"/>
                <w:color w:val="auto"/>
                <w:sz w:val="24"/>
                <w:highlight w:val="none"/>
              </w:rPr>
            </w:pPr>
          </w:p>
        </w:tc>
        <w:tc>
          <w:tcPr>
            <w:tcW w:w="1254" w:type="dxa"/>
            <w:vAlign w:val="center"/>
          </w:tcPr>
          <w:p w14:paraId="6AE3B5A3">
            <w:pPr>
              <w:jc w:val="center"/>
              <w:rPr>
                <w:rFonts w:ascii="宋体" w:hAnsi="宋体" w:cs="宋体"/>
                <w:i w:val="0"/>
                <w:iCs w:val="0"/>
                <w:color w:val="auto"/>
                <w:sz w:val="24"/>
                <w:highlight w:val="none"/>
              </w:rPr>
            </w:pPr>
          </w:p>
        </w:tc>
        <w:tc>
          <w:tcPr>
            <w:tcW w:w="1685" w:type="dxa"/>
            <w:vAlign w:val="center"/>
          </w:tcPr>
          <w:p w14:paraId="6F7126DA">
            <w:pPr>
              <w:jc w:val="center"/>
              <w:rPr>
                <w:rFonts w:ascii="宋体" w:hAnsi="宋体" w:cs="宋体"/>
                <w:i w:val="0"/>
                <w:iCs w:val="0"/>
                <w:color w:val="auto"/>
                <w:sz w:val="24"/>
                <w:highlight w:val="none"/>
              </w:rPr>
            </w:pPr>
          </w:p>
        </w:tc>
        <w:tc>
          <w:tcPr>
            <w:tcW w:w="1442" w:type="dxa"/>
          </w:tcPr>
          <w:p w14:paraId="4A387970">
            <w:pPr>
              <w:jc w:val="center"/>
              <w:rPr>
                <w:rFonts w:ascii="宋体" w:hAnsi="宋体" w:cs="宋体"/>
                <w:i w:val="0"/>
                <w:iCs w:val="0"/>
                <w:color w:val="auto"/>
                <w:sz w:val="24"/>
                <w:highlight w:val="none"/>
              </w:rPr>
            </w:pPr>
          </w:p>
        </w:tc>
        <w:tc>
          <w:tcPr>
            <w:tcW w:w="1442" w:type="dxa"/>
            <w:vAlign w:val="center"/>
          </w:tcPr>
          <w:p w14:paraId="79BD383A">
            <w:pPr>
              <w:jc w:val="center"/>
              <w:rPr>
                <w:rFonts w:ascii="宋体" w:hAnsi="宋体" w:cs="宋体"/>
                <w:i w:val="0"/>
                <w:iCs w:val="0"/>
                <w:color w:val="auto"/>
                <w:sz w:val="24"/>
                <w:highlight w:val="none"/>
              </w:rPr>
            </w:pPr>
          </w:p>
        </w:tc>
        <w:tc>
          <w:tcPr>
            <w:tcW w:w="1049" w:type="dxa"/>
            <w:vAlign w:val="center"/>
          </w:tcPr>
          <w:p w14:paraId="4F79B683">
            <w:pPr>
              <w:jc w:val="center"/>
              <w:rPr>
                <w:rFonts w:ascii="宋体" w:hAnsi="宋体" w:cs="宋体"/>
                <w:i w:val="0"/>
                <w:iCs w:val="0"/>
                <w:color w:val="auto"/>
                <w:sz w:val="24"/>
                <w:highlight w:val="none"/>
              </w:rPr>
            </w:pPr>
          </w:p>
        </w:tc>
      </w:tr>
    </w:tbl>
    <w:p w14:paraId="444AF3B7">
      <w:pPr>
        <w:spacing w:before="120" w:beforeLines="50" w:line="360" w:lineRule="auto"/>
        <w:rPr>
          <w:rFonts w:ascii="宋体" w:hAnsi="宋体" w:cs="宋体"/>
          <w:b/>
          <w:i w:val="0"/>
          <w:iCs w:val="0"/>
          <w:color w:val="auto"/>
          <w:sz w:val="24"/>
          <w:highlight w:val="none"/>
        </w:rPr>
      </w:pPr>
      <w:r>
        <w:rPr>
          <w:rFonts w:hint="eastAsia" w:ascii="宋体" w:hAnsi="宋体" w:cs="宋体"/>
          <w:b/>
          <w:i w:val="0"/>
          <w:iCs w:val="0"/>
          <w:color w:val="auto"/>
          <w:sz w:val="24"/>
          <w:highlight w:val="none"/>
        </w:rPr>
        <w:t>注：</w:t>
      </w:r>
      <w:r>
        <w:rPr>
          <w:rFonts w:hint="eastAsia" w:ascii="宋体" w:hAnsi="宋体" w:cs="宋体"/>
          <w:b/>
          <w:i w:val="0"/>
          <w:iCs w:val="0"/>
          <w:color w:val="auto"/>
          <w:sz w:val="24"/>
          <w:highlight w:val="none"/>
          <w:lang w:val="en-US" w:eastAsia="zh-CN"/>
        </w:rPr>
        <w:t>提供</w:t>
      </w:r>
      <w:r>
        <w:rPr>
          <w:rFonts w:hint="eastAsia" w:ascii="宋体" w:hAnsi="宋体" w:cs="宋体"/>
          <w:b/>
          <w:i w:val="0"/>
          <w:iCs w:val="0"/>
          <w:color w:val="auto"/>
          <w:sz w:val="24"/>
          <w:highlight w:val="none"/>
        </w:rPr>
        <w:t>合同协议书或中标通知书或业主证明材料等有效证明材料复印件或扫描件加盖公章。</w:t>
      </w:r>
    </w:p>
    <w:p w14:paraId="31197F7A">
      <w:pPr>
        <w:spacing w:before="120" w:beforeLines="50" w:line="360" w:lineRule="auto"/>
        <w:rPr>
          <w:rFonts w:ascii="宋体" w:hAnsi="宋体" w:cs="宋体"/>
          <w:i w:val="0"/>
          <w:iCs w:val="0"/>
          <w:color w:val="auto"/>
          <w:sz w:val="24"/>
          <w:highlight w:val="none"/>
        </w:rPr>
      </w:pPr>
      <w:r>
        <w:rPr>
          <w:rFonts w:hint="eastAsia" w:ascii="宋体" w:hAnsi="宋体" w:cs="宋体"/>
          <w:i w:val="0"/>
          <w:iCs w:val="0"/>
          <w:color w:val="auto"/>
          <w:sz w:val="24"/>
          <w:szCs w:val="24"/>
          <w:highlight w:val="none"/>
        </w:rPr>
        <w:t xml:space="preserve">                                            </w:t>
      </w:r>
    </w:p>
    <w:p w14:paraId="2B75F4AD">
      <w:pPr>
        <w:pStyle w:val="12"/>
        <w:rPr>
          <w:rFonts w:ascii="宋体" w:hAnsi="宋体" w:cs="宋体"/>
          <w:i w:val="0"/>
          <w:iCs w:val="0"/>
          <w:color w:val="auto"/>
          <w:highlight w:val="none"/>
        </w:rPr>
      </w:pPr>
    </w:p>
    <w:p w14:paraId="0C88F7A4">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投标人：</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(加盖单位公章)</w:t>
      </w:r>
    </w:p>
    <w:p w14:paraId="0A4934BF">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法定代表人(单位负责人)或其委托代理人：</w:t>
      </w:r>
      <w:r>
        <w:rPr>
          <w:rFonts w:hint="eastAsia" w:ascii="宋体" w:hAnsi="宋体" w:cs="宋体"/>
          <w:i w:val="0"/>
          <w:iCs w:val="0"/>
          <w:color w:val="auto"/>
          <w:sz w:val="24"/>
          <w:szCs w:val="24"/>
          <w:highlight w:val="none"/>
          <w:u w:val="single"/>
        </w:rPr>
        <w:tab/>
      </w:r>
      <w:r>
        <w:rPr>
          <w:rFonts w:hint="eastAsia" w:ascii="宋体" w:hAnsi="宋体" w:cs="宋体"/>
          <w:i w:val="0"/>
          <w:iCs w:val="0"/>
          <w:color w:val="auto"/>
          <w:sz w:val="24"/>
          <w:szCs w:val="24"/>
          <w:highlight w:val="none"/>
          <w:u w:val="single"/>
        </w:rPr>
        <w:t xml:space="preserve">      </w:t>
      </w:r>
      <w:r>
        <w:rPr>
          <w:rFonts w:hint="eastAsia" w:ascii="宋体" w:hAnsi="宋体" w:cs="宋体"/>
          <w:i w:val="0"/>
          <w:iCs w:val="0"/>
          <w:color w:val="auto"/>
          <w:sz w:val="24"/>
          <w:szCs w:val="24"/>
          <w:highlight w:val="none"/>
        </w:rPr>
        <w:t>(签字或盖章)</w:t>
      </w:r>
    </w:p>
    <w:p w14:paraId="5FAC07A6">
      <w:pPr>
        <w:spacing w:line="480" w:lineRule="auto"/>
        <w:ind w:firstLine="480" w:firstLineChars="2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日期：</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年</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月</w:t>
      </w:r>
      <w:r>
        <w:rPr>
          <w:rFonts w:hint="eastAsia" w:ascii="宋体" w:hAnsi="宋体" w:cs="宋体"/>
          <w:bCs/>
          <w:i w:val="0"/>
          <w:iCs w:val="0"/>
          <w:color w:val="auto"/>
          <w:sz w:val="24"/>
          <w:szCs w:val="24"/>
          <w:highlight w:val="none"/>
          <w:u w:val="single"/>
        </w:rPr>
        <w:t xml:space="preserve">    </w:t>
      </w:r>
      <w:r>
        <w:rPr>
          <w:rFonts w:hint="eastAsia" w:ascii="宋体" w:hAnsi="宋体" w:cs="宋体"/>
          <w:i w:val="0"/>
          <w:iCs w:val="0"/>
          <w:color w:val="auto"/>
          <w:sz w:val="24"/>
          <w:szCs w:val="24"/>
          <w:highlight w:val="none"/>
        </w:rPr>
        <w:t>日</w:t>
      </w:r>
    </w:p>
    <w:p w14:paraId="01B4B7BC">
      <w:pPr>
        <w:bidi w:val="0"/>
        <w:jc w:val="left"/>
        <w:rPr>
          <w:rFonts w:ascii="宋体" w:hAnsi="宋体" w:cs="宋体"/>
          <w:i w:val="0"/>
          <w:iCs w:val="0"/>
          <w:color w:val="auto"/>
          <w:sz w:val="28"/>
          <w:szCs w:val="28"/>
          <w:highlight w:val="none"/>
        </w:rPr>
      </w:pPr>
      <w:r>
        <w:rPr>
          <w:rFonts w:hint="eastAsia" w:ascii="宋体" w:hAnsi="宋体" w:cs="宋体"/>
          <w:i w:val="0"/>
          <w:iCs w:val="0"/>
          <w:color w:val="auto"/>
          <w:sz w:val="24"/>
          <w:szCs w:val="24"/>
          <w:highlight w:val="none"/>
        </w:rPr>
        <w:br w:type="page"/>
      </w:r>
      <w:bookmarkStart w:id="316" w:name="_Toc12249"/>
      <w:bookmarkStart w:id="317" w:name="_Toc31949"/>
      <w:r>
        <w:rPr>
          <w:rFonts w:hint="eastAsia" w:ascii="宋体" w:hAnsi="宋体" w:eastAsia="宋体" w:cs="宋体"/>
          <w:b/>
          <w:bCs/>
          <w:sz w:val="30"/>
          <w:szCs w:val="30"/>
          <w:lang w:val="en-US" w:eastAsia="zh-CN"/>
        </w:rPr>
        <w:t>格式12：</w:t>
      </w:r>
      <w:bookmarkEnd w:id="316"/>
      <w:bookmarkEnd w:id="317"/>
    </w:p>
    <w:p w14:paraId="4665A0A6">
      <w:pPr>
        <w:bidi w:val="0"/>
        <w:jc w:val="center"/>
        <w:rPr>
          <w:rFonts w:hint="eastAsia"/>
          <w:b/>
          <w:bCs/>
          <w:sz w:val="28"/>
          <w:szCs w:val="28"/>
          <w:lang w:val="en-US" w:eastAsia="zh-CN"/>
        </w:rPr>
      </w:pPr>
      <w:bookmarkStart w:id="318" w:name="_Toc27457"/>
      <w:bookmarkStart w:id="319" w:name="_Toc9409"/>
      <w:r>
        <w:rPr>
          <w:rFonts w:hint="eastAsia"/>
          <w:b/>
          <w:bCs/>
          <w:sz w:val="28"/>
          <w:szCs w:val="28"/>
          <w:lang w:val="en-US" w:eastAsia="zh-CN"/>
        </w:rPr>
        <w:t>其他资料</w:t>
      </w:r>
      <w:bookmarkEnd w:id="318"/>
      <w:bookmarkEnd w:id="319"/>
    </w:p>
    <w:p w14:paraId="54D73CE8">
      <w:pPr>
        <w:spacing w:before="120" w:beforeLines="50" w:line="360" w:lineRule="auto"/>
        <w:ind w:firstLine="720" w:firstLineChars="300"/>
        <w:rPr>
          <w:rFonts w:ascii="宋体" w:hAnsi="宋体" w:cs="宋体"/>
          <w:i w:val="0"/>
          <w:iCs w:val="0"/>
          <w:color w:val="auto"/>
          <w:sz w:val="24"/>
          <w:szCs w:val="24"/>
          <w:highlight w:val="none"/>
        </w:rPr>
      </w:pPr>
    </w:p>
    <w:p w14:paraId="36A124D6">
      <w:pPr>
        <w:spacing w:before="120" w:beforeLines="50" w:line="360" w:lineRule="auto"/>
        <w:ind w:firstLine="720" w:firstLineChars="300"/>
        <w:rPr>
          <w:rFonts w:ascii="宋体" w:hAnsi="宋体" w:cs="宋体"/>
          <w:i w:val="0"/>
          <w:iCs w:val="0"/>
          <w:color w:val="auto"/>
          <w:sz w:val="24"/>
          <w:szCs w:val="24"/>
          <w:highlight w:val="none"/>
        </w:rPr>
      </w:pP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val="en-US" w:eastAsia="zh-CN"/>
        </w:rPr>
        <w:t>一</w:t>
      </w: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eastAsia="zh-CN"/>
        </w:rPr>
        <w:t>招标文件</w:t>
      </w:r>
      <w:r>
        <w:rPr>
          <w:rFonts w:hint="eastAsia" w:ascii="宋体" w:hAnsi="宋体" w:cs="宋体"/>
          <w:i w:val="0"/>
          <w:iCs w:val="0"/>
          <w:color w:val="auto"/>
          <w:sz w:val="24"/>
          <w:szCs w:val="24"/>
          <w:highlight w:val="none"/>
        </w:rPr>
        <w:t>要求提交的其他资料</w:t>
      </w:r>
    </w:p>
    <w:p w14:paraId="095AAB30">
      <w:pPr>
        <w:spacing w:before="120" w:beforeLines="50" w:line="360" w:lineRule="auto"/>
        <w:ind w:firstLine="720" w:firstLineChars="300"/>
        <w:rPr>
          <w:rFonts w:ascii="宋体" w:hAnsi="宋体" w:cs="宋体"/>
          <w:i w:val="0"/>
          <w:iCs w:val="0"/>
          <w:color w:val="auto"/>
          <w:highlight w:val="none"/>
        </w:rPr>
      </w:pPr>
      <w:r>
        <w:rPr>
          <w:rFonts w:hint="eastAsia" w:ascii="宋体" w:hAnsi="宋体" w:cs="宋体"/>
          <w:i w:val="0"/>
          <w:iCs w:val="0"/>
          <w:color w:val="auto"/>
          <w:sz w:val="24"/>
          <w:szCs w:val="24"/>
          <w:highlight w:val="none"/>
        </w:rPr>
        <w:t>(</w:t>
      </w:r>
      <w:r>
        <w:rPr>
          <w:rFonts w:hint="eastAsia" w:ascii="宋体" w:hAnsi="宋体" w:cs="宋体"/>
          <w:i w:val="0"/>
          <w:iCs w:val="0"/>
          <w:color w:val="auto"/>
          <w:sz w:val="24"/>
          <w:szCs w:val="24"/>
          <w:highlight w:val="none"/>
          <w:lang w:val="en-US" w:eastAsia="zh-CN"/>
        </w:rPr>
        <w:t>二</w:t>
      </w:r>
      <w:r>
        <w:rPr>
          <w:rFonts w:hint="eastAsia" w:ascii="宋体" w:hAnsi="宋体" w:cs="宋体"/>
          <w:i w:val="0"/>
          <w:iCs w:val="0"/>
          <w:color w:val="auto"/>
          <w:sz w:val="24"/>
          <w:szCs w:val="24"/>
          <w:highlight w:val="none"/>
        </w:rPr>
        <w:t>)投标人认为需要提交的其他资料</w:t>
      </w:r>
      <w:bookmarkStart w:id="320" w:name="_Toc12254"/>
      <w:bookmarkEnd w:id="320"/>
      <w:bookmarkStart w:id="321" w:name="_Toc468"/>
      <w:bookmarkEnd w:id="321"/>
    </w:p>
    <w:sectPr>
      <w:headerReference r:id="rId17" w:type="default"/>
      <w:footerReference r:id="rId18" w:type="default"/>
      <w:type w:val="nextColumn"/>
      <w:pgSz w:w="11906" w:h="16838"/>
      <w:pgMar w:top="1304" w:right="1304" w:bottom="1304" w:left="1304" w:header="737" w:footer="737"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0D"/>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Wingdings 2">
    <w:panose1 w:val="05020102010507070707"/>
    <w:charset w:val="02"/>
    <w:family w:val="roman"/>
    <w:pitch w:val="default"/>
    <w:sig w:usb0="00000000" w:usb1="00000000" w:usb2="00000000" w:usb3="00000000" w:csb0="80000000" w:csb1="00000000"/>
  </w:font>
  <w:font w:name="??">
    <w:altName w:val="Times New Roman"/>
    <w:panose1 w:val="00000000000000000000"/>
    <w:charset w:val="00"/>
    <w:family w:val="roman"/>
    <w:pitch w:val="default"/>
    <w:sig w:usb0="00000000" w:usb1="00000000" w:usb2="00000000" w:usb3="00000000" w:csb0="0000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B0C88">
    <w:pPr>
      <w:pStyle w:val="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6566D">
                          <w:pPr>
                            <w:pStyle w:val="20"/>
                          </w:pPr>
                          <w:r>
                            <w:rPr>
                              <w:rFonts w:hint="eastAsia"/>
                            </w:rPr>
                            <w:fldChar w:fldCharType="begin"/>
                          </w:r>
                          <w:r>
                            <w:rPr>
                              <w:rFonts w:hint="eastAsia"/>
                            </w:rPr>
                            <w:instrText xml:space="preserve"> PAGE  \* MERGEFORMAT </w:instrText>
                          </w:r>
                          <w:r>
                            <w:rPr>
                              <w:rFonts w:hint="eastAsia"/>
                            </w:rPr>
                            <w:fldChar w:fldCharType="separate"/>
                          </w:r>
                          <w:r>
                            <w:t>- 30 -</w:t>
                          </w:r>
                          <w:r>
                            <w:rPr>
                              <w:rFonts w:hint="eastAsia"/>
                            </w:rPr>
                            <w:fldChar w:fldCharType="end"/>
                          </w:r>
                        </w:p>
                      </w:txbxContent>
                    </wps:txbx>
                    <wps:bodyPr wrap="none" lIns="0" tIns="0" rIns="0" bIns="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QUX9MIBAACN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JiPXgPDukLBw6SejjlBTMZxSYTRtVF6DP+8l6+kv2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0FF/TCAQAAjQMAAA4AAAAAAAAAAQAgAAAAHgEAAGRycy9lMm9Eb2MueG1sUEsF&#10;BgAAAAAGAAYAWQEAAFIFAAAAAA==&#10;">
              <v:fill on="f" focussize="0,0"/>
              <v:stroke on="f"/>
              <v:imagedata o:title=""/>
              <o:lock v:ext="edit" aspectratio="f"/>
              <v:textbox inset="0mm,0mm,0mm,0mm" style="mso-fit-shape-to-text:t;">
                <w:txbxContent>
                  <w:p w14:paraId="1FA6566D">
                    <w:pPr>
                      <w:pStyle w:val="20"/>
                    </w:pPr>
                    <w:r>
                      <w:rPr>
                        <w:rFonts w:hint="eastAsia"/>
                      </w:rPr>
                      <w:fldChar w:fldCharType="begin"/>
                    </w:r>
                    <w:r>
                      <w:rPr>
                        <w:rFonts w:hint="eastAsia"/>
                      </w:rPr>
                      <w:instrText xml:space="preserve"> PAGE  \* MERGEFORMAT </w:instrText>
                    </w:r>
                    <w:r>
                      <w:rPr>
                        <w:rFonts w:hint="eastAsia"/>
                      </w:rPr>
                      <w:fldChar w:fldCharType="separate"/>
                    </w:r>
                    <w:r>
                      <w:t>- 30 -</w:t>
                    </w:r>
                    <w:r>
                      <w:rPr>
                        <w:rFonts w:hint="eastAsia"/>
                      </w:rPr>
                      <w:fldChar w:fldCharType="end"/>
                    </w:r>
                  </w:p>
                </w:txbxContent>
              </v:textbox>
            </v:shape>
          </w:pict>
        </mc:Fallback>
      </mc:AlternateContent>
    </w:r>
  </w:p>
  <w:p w14:paraId="20CDA6BA">
    <w:pPr>
      <w:pStyle w:val="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FAC0D">
    <w:pPr>
      <w:pStyle w:val="2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BB06C">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ADBB06C">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A0944">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B3581">
    <w:pPr>
      <w:pStyle w:val="2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AA4F65">
                          <w:pPr>
                            <w:pStyle w:val="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FAA4F65">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9615D">
    <w:pPr>
      <w:pStyle w:val="2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37A0E5">
                          <w:pPr>
                            <w:pStyle w:val="20"/>
                            <w:jc w:val="center"/>
                          </w:pPr>
                          <w:r>
                            <w:fldChar w:fldCharType="begin"/>
                          </w:r>
                          <w:r>
                            <w:instrText xml:space="preserve"> PAGE   \* MERGEFORMAT </w:instrText>
                          </w:r>
                          <w:r>
                            <w:fldChar w:fldCharType="separate"/>
                          </w:r>
                          <w:r>
                            <w:rPr>
                              <w:lang w:val="zh-CN"/>
                            </w:rPr>
                            <w:t>-</w:t>
                          </w:r>
                          <w:r>
                            <w:t xml:space="preserve">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637A0E5">
                    <w:pPr>
                      <w:pStyle w:val="20"/>
                      <w:jc w:val="center"/>
                    </w:pPr>
                    <w:r>
                      <w:fldChar w:fldCharType="begin"/>
                    </w:r>
                    <w:r>
                      <w:instrText xml:space="preserve"> PAGE   \* MERGEFORMAT </w:instrText>
                    </w:r>
                    <w:r>
                      <w:fldChar w:fldCharType="separate"/>
                    </w:r>
                    <w:r>
                      <w:rPr>
                        <w:lang w:val="zh-CN"/>
                      </w:rPr>
                      <w:t>-</w:t>
                    </w:r>
                    <w:r>
                      <w:t xml:space="preserve"> 3 -</w:t>
                    </w:r>
                    <w:r>
                      <w:fldChar w:fldCharType="end"/>
                    </w:r>
                  </w:p>
                </w:txbxContent>
              </v:textbox>
            </v:shape>
          </w:pict>
        </mc:Fallback>
      </mc:AlternateContent>
    </w:r>
  </w:p>
  <w:p w14:paraId="4CA9C6E8">
    <w:pPr>
      <w:pStyle w:val="2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84FDD">
    <w:pPr>
      <w:pStyle w:val="20"/>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33C76">
                          <w:pPr>
                            <w:pStyle w:val="20"/>
                            <w:jc w:val="center"/>
                          </w:pPr>
                          <w:r>
                            <w:fldChar w:fldCharType="begin"/>
                          </w:r>
                          <w:r>
                            <w:instrText xml:space="preserve"> PAGE   \* MERGEFORMAT </w:instrText>
                          </w:r>
                          <w:r>
                            <w:fldChar w:fldCharType="separate"/>
                          </w:r>
                          <w:r>
                            <w:rPr>
                              <w:lang w:val="zh-CN"/>
                            </w:rPr>
                            <w:t>-</w:t>
                          </w:r>
                          <w:r>
                            <w:t xml:space="preserve">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22D33C76">
                    <w:pPr>
                      <w:pStyle w:val="20"/>
                      <w:jc w:val="center"/>
                    </w:pPr>
                    <w:r>
                      <w:fldChar w:fldCharType="begin"/>
                    </w:r>
                    <w:r>
                      <w:instrText xml:space="preserve"> PAGE   \* MERGEFORMAT </w:instrText>
                    </w:r>
                    <w:r>
                      <w:fldChar w:fldCharType="separate"/>
                    </w:r>
                    <w:r>
                      <w:rPr>
                        <w:lang w:val="zh-CN"/>
                      </w:rPr>
                      <w:t>-</w:t>
                    </w:r>
                    <w:r>
                      <w:t xml:space="preserve"> 1 -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3E376">
    <w:pPr>
      <w:pStyle w:val="20"/>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A44495">
                          <w:pPr>
                            <w:pStyle w:val="20"/>
                            <w:jc w:val="center"/>
                          </w:pPr>
                          <w:r>
                            <w:fldChar w:fldCharType="begin"/>
                          </w:r>
                          <w:r>
                            <w:instrText xml:space="preserve"> PAGE   \* MERGEFORMAT </w:instrText>
                          </w:r>
                          <w:r>
                            <w:fldChar w:fldCharType="separate"/>
                          </w:r>
                          <w:r>
                            <w:rPr>
                              <w:lang w:val="zh-CN"/>
                            </w:rPr>
                            <w:t>-</w:t>
                          </w:r>
                          <w:r>
                            <w:t xml:space="preserve"> 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48A44495">
                    <w:pPr>
                      <w:pStyle w:val="20"/>
                      <w:jc w:val="center"/>
                    </w:pPr>
                    <w:r>
                      <w:fldChar w:fldCharType="begin"/>
                    </w:r>
                    <w:r>
                      <w:instrText xml:space="preserve"> PAGE   \* MERGEFORMAT </w:instrText>
                    </w:r>
                    <w:r>
                      <w:fldChar w:fldCharType="separate"/>
                    </w:r>
                    <w:r>
                      <w:rPr>
                        <w:lang w:val="zh-CN"/>
                      </w:rPr>
                      <w:t>-</w:t>
                    </w:r>
                    <w:r>
                      <w:t xml:space="preserve"> 31 -</w:t>
                    </w:r>
                    <w:r>
                      <w:fldChar w:fldCharType="end"/>
                    </w:r>
                  </w:p>
                </w:txbxContent>
              </v:textbox>
            </v:shape>
          </w:pict>
        </mc:Fallback>
      </mc:AlternateContent>
    </w:r>
  </w:p>
  <w:p w14:paraId="58ABDB7B">
    <w:pPr>
      <w:pStyle w:val="12"/>
      <w:spacing w:line="14" w:lineRule="auto"/>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0069F">
    <w:pPr>
      <w:pStyle w:val="2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413BA">
                          <w:pPr>
                            <w:pStyle w:val="2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2A4413BA">
                    <w:pPr>
                      <w:pStyle w:val="2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D00A3">
    <w:pPr>
      <w:pStyle w:val="2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7646C7">
                          <w:pPr>
                            <w:pStyle w:val="20"/>
                            <w:jc w:val="center"/>
                          </w:pPr>
                          <w:r>
                            <w:fldChar w:fldCharType="begin"/>
                          </w:r>
                          <w:r>
                            <w:instrText xml:space="preserve"> PAGE   \* MERGEFORMAT </w:instrText>
                          </w:r>
                          <w:r>
                            <w:fldChar w:fldCharType="separate"/>
                          </w:r>
                          <w:r>
                            <w:rPr>
                              <w:lang w:val="zh-CN"/>
                            </w:rPr>
                            <w:t>-</w:t>
                          </w:r>
                          <w:r>
                            <w:t xml:space="preserve"> 42 -</w:t>
                          </w:r>
                          <w:r>
                            <w:fldChar w:fldCharType="end"/>
                          </w:r>
                        </w:p>
                      </w:txbxContent>
                    </wps:txbx>
                    <wps:bodyPr wrap="none" lIns="0" tIns="0" rIns="0" bIns="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gud/8IBAACO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m+&#10;zvr0AWpMuwuYmIa3fsCtmf2Azkx7UNHmLxIiGEd1z1d15ZCIyI/Wq/W6wpDA2HxBfPbwPERI76S3&#10;JBsNjTi+oio/fYA0ps4puZrzt9qYMkLj/nIgZvaw3PvYY7bSsB8mQnvfnpFPj5NvqMNFp8S8dyhs&#10;XpLZiLOxn4xcA8KbY8LCpZ+MOkJNxXBMhdG0UnkP/ryXrI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YLnf/CAQAAjgMAAA4AAAAAAAAAAQAgAAAAHgEAAGRycy9lMm9Eb2MueG1sUEsF&#10;BgAAAAAGAAYAWQEAAFIFAAAAAA==&#10;">
              <v:fill on="f" focussize="0,0"/>
              <v:stroke on="f"/>
              <v:imagedata o:title=""/>
              <o:lock v:ext="edit" aspectratio="f"/>
              <v:textbox inset="0mm,0mm,0mm,0mm" style="mso-fit-shape-to-text:t;">
                <w:txbxContent>
                  <w:p w14:paraId="1E7646C7">
                    <w:pPr>
                      <w:pStyle w:val="20"/>
                      <w:jc w:val="center"/>
                    </w:pPr>
                    <w:r>
                      <w:fldChar w:fldCharType="begin"/>
                    </w:r>
                    <w:r>
                      <w:instrText xml:space="preserve"> PAGE   \* MERGEFORMAT </w:instrText>
                    </w:r>
                    <w:r>
                      <w:fldChar w:fldCharType="separate"/>
                    </w:r>
                    <w:r>
                      <w:rPr>
                        <w:lang w:val="zh-CN"/>
                      </w:rPr>
                      <w:t>-</w:t>
                    </w:r>
                    <w:r>
                      <w:t xml:space="preserve"> 42 -</w:t>
                    </w:r>
                    <w:r>
                      <w:fldChar w:fldCharType="end"/>
                    </w:r>
                  </w:p>
                </w:txbxContent>
              </v:textbox>
            </v:shape>
          </w:pict>
        </mc:Fallback>
      </mc:AlternateContent>
    </w:r>
  </w:p>
  <w:p w14:paraId="7D48C6A3">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F1952">
    <w:pPr>
      <w:pStyle w:val="22"/>
      <w:pBdr>
        <w:bottom w:val="single" w:color="auto" w:sz="4" w:space="1"/>
      </w:pBdr>
      <w:jc w:val="both"/>
    </w:pPr>
    <w:r>
      <w:rPr>
        <w:rFonts w:hint="eastAsia" w:ascii="宋体" w:hAnsi="宋体"/>
        <w:sz w:val="44"/>
        <w:szCs w:val="44"/>
      </w:rPr>
      <w:drawing>
        <wp:inline distT="0" distB="0" distL="114300" distR="114300">
          <wp:extent cx="198755" cy="212725"/>
          <wp:effectExtent l="0" t="0" r="10795" b="15875"/>
          <wp:docPr id="5" name="图片 7" descr="透明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透明logo"/>
                  <pic:cNvPicPr>
                    <a:picLocks noChangeAspect="1"/>
                  </pic:cNvPicPr>
                </pic:nvPicPr>
                <pic:blipFill>
                  <a:blip r:embed="rId1"/>
                  <a:stretch>
                    <a:fillRect/>
                  </a:stretch>
                </pic:blipFill>
                <pic:spPr>
                  <a:xfrm>
                    <a:off x="0" y="0"/>
                    <a:ext cx="198755" cy="212725"/>
                  </a:xfrm>
                  <a:prstGeom prst="rect">
                    <a:avLst/>
                  </a:prstGeom>
                  <a:noFill/>
                  <a:ln>
                    <a:noFill/>
                  </a:ln>
                </pic:spPr>
              </pic:pic>
            </a:graphicData>
          </a:graphic>
        </wp:inline>
      </w:drawing>
    </w:r>
    <w:r>
      <w:rPr>
        <w:rFonts w:hint="eastAsia" w:ascii="宋体" w:hAnsi="宋体"/>
        <w:b/>
        <w:bCs/>
        <w:sz w:val="21"/>
        <w:szCs w:val="21"/>
      </w:rPr>
      <w:t>云南元大工程咨询有限责任公司</w:t>
    </w:r>
    <w:r>
      <w:rPr>
        <w:rFonts w:hint="eastAsia"/>
        <w:b/>
        <w:bCs/>
        <w:sz w:val="21"/>
        <w:szCs w:val="21"/>
      </w:rPr>
      <w:t xml:space="preserve">                                                </w:t>
    </w:r>
    <w:r>
      <w:rPr>
        <w:rFonts w:hint="eastAsia" w:ascii="宋体" w:hAnsi="宋体"/>
        <w:b/>
        <w:bCs/>
        <w:color w:val="000000"/>
        <w:sz w:val="21"/>
        <w:szCs w:val="21"/>
        <w:lang w:eastAsia="zh-CN"/>
      </w:rPr>
      <w:t>招标文件</w:t>
    </w:r>
    <w:r>
      <w:rPr>
        <w:rFonts w:hint="eastAsia"/>
        <w:b/>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642AF">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33A82">
    <w:pPr>
      <w:pStyle w:val="2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BF9EB">
    <w:pPr>
      <w:pStyle w:val="2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16B8">
    <w:pPr>
      <w:pStyle w:val="22"/>
      <w:pBdr>
        <w:bottom w:val="single" w:color="auto" w:sz="4" w:space="1"/>
      </w:pBdr>
      <w:jc w:val="both"/>
    </w:pPr>
    <w:r>
      <w:rPr>
        <w:rFonts w:hint="eastAsia"/>
        <w:b/>
        <w:bCs/>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E955B">
    <w:pPr>
      <w:pStyle w:val="22"/>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314EF">
    <w:pPr>
      <w:pStyle w:val="22"/>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11C28"/>
    <w:multiLevelType w:val="singleLevel"/>
    <w:tmpl w:val="B5911C28"/>
    <w:lvl w:ilvl="0" w:tentative="0">
      <w:start w:val="4"/>
      <w:numFmt w:val="chineseCounting"/>
      <w:lvlText w:val="(%1)"/>
      <w:lvlJc w:val="left"/>
      <w:pPr>
        <w:tabs>
          <w:tab w:val="left" w:pos="312"/>
        </w:tabs>
      </w:pPr>
      <w:rPr>
        <w:rFonts w:hint="eastAsia"/>
      </w:rPr>
    </w:lvl>
  </w:abstractNum>
  <w:abstractNum w:abstractNumId="1">
    <w:nsid w:val="E6768E67"/>
    <w:multiLevelType w:val="singleLevel"/>
    <w:tmpl w:val="E6768E67"/>
    <w:lvl w:ilvl="0" w:tentative="0">
      <w:start w:val="4"/>
      <w:numFmt w:val="chineseCounting"/>
      <w:suff w:val="space"/>
      <w:lvlText w:val="第%1章"/>
      <w:lvlJc w:val="left"/>
      <w:rPr>
        <w:rFonts w:hint="eastAsia"/>
      </w:rPr>
    </w:lvl>
  </w:abstractNum>
  <w:abstractNum w:abstractNumId="2">
    <w:nsid w:val="0053208E"/>
    <w:multiLevelType w:val="multilevel"/>
    <w:tmpl w:val="0053208E"/>
    <w:lvl w:ilvl="0" w:tentative="0">
      <w:start w:val="1"/>
      <w:numFmt w:val="decimal"/>
      <w:suff w:val="nothing"/>
      <w:lvlText w:val="%1."/>
      <w:lvlJc w:val="left"/>
      <w:pPr>
        <w:tabs>
          <w:tab w:val="left" w:pos="0"/>
        </w:tabs>
        <w:ind w:left="0" w:firstLine="0"/>
      </w:pPr>
      <w:rPr>
        <w:rFonts w:hint="default"/>
        <w:b/>
        <w:bCs/>
      </w:rPr>
    </w:lvl>
    <w:lvl w:ilvl="1" w:tentative="0">
      <w:start w:val="1"/>
      <w:numFmt w:val="decimal"/>
      <w:suff w:val="nothing"/>
      <w:lvlText w:val="%1.%2."/>
      <w:lvlJc w:val="left"/>
      <w:pPr>
        <w:tabs>
          <w:tab w:val="left" w:pos="0"/>
        </w:tabs>
        <w:ind w:left="0" w:firstLine="0"/>
      </w:pPr>
      <w:rPr>
        <w:rFonts w:hint="default"/>
        <w:b/>
        <w:bCs/>
        <w:color w:val="auto"/>
      </w:rPr>
    </w:lvl>
    <w:lvl w:ilvl="2" w:tentative="0">
      <w:start w:val="1"/>
      <w:numFmt w:val="decimal"/>
      <w:suff w:val="nothing"/>
      <w:lvlText w:val="%1.%2.%3."/>
      <w:lvlJc w:val="left"/>
      <w:pPr>
        <w:tabs>
          <w:tab w:val="left" w:pos="0"/>
        </w:tabs>
        <w:ind w:left="0" w:firstLine="0"/>
      </w:pPr>
      <w:rPr>
        <w:rFonts w:hint="default"/>
        <w:b/>
        <w:bCs/>
      </w:rPr>
    </w:lvl>
    <w:lvl w:ilvl="3" w:tentative="0">
      <w:start w:val="1"/>
      <w:numFmt w:val="decimal"/>
      <w:lvlText w:val="%1.%2.%3.%4."/>
      <w:lvlJc w:val="left"/>
      <w:pPr>
        <w:tabs>
          <w:tab w:val="left" w:pos="0"/>
        </w:tabs>
        <w:ind w:left="850" w:hanging="850"/>
      </w:pPr>
      <w:rPr>
        <w:rFonts w:hint="default"/>
      </w:rPr>
    </w:lvl>
    <w:lvl w:ilvl="4" w:tentative="0">
      <w:start w:val="1"/>
      <w:numFmt w:val="decimal"/>
      <w:lvlText w:val="%1.%2.%3.%4.%5."/>
      <w:lvlJc w:val="left"/>
      <w:pPr>
        <w:tabs>
          <w:tab w:val="left" w:pos="0"/>
        </w:tabs>
        <w:ind w:left="991" w:hanging="991"/>
      </w:pPr>
      <w:rPr>
        <w:rFonts w:hint="default"/>
      </w:rPr>
    </w:lvl>
    <w:lvl w:ilvl="5" w:tentative="0">
      <w:start w:val="1"/>
      <w:numFmt w:val="decimal"/>
      <w:lvlText w:val="%1.%2.%3.%4.%5.%6."/>
      <w:lvlJc w:val="left"/>
      <w:pPr>
        <w:tabs>
          <w:tab w:val="left" w:pos="0"/>
        </w:tabs>
        <w:ind w:left="1134" w:hanging="1134"/>
      </w:pPr>
      <w:rPr>
        <w:rFonts w:hint="default"/>
      </w:rPr>
    </w:lvl>
    <w:lvl w:ilvl="6" w:tentative="0">
      <w:start w:val="1"/>
      <w:numFmt w:val="decimal"/>
      <w:lvlText w:val="%1.%2.%3.%4.%5.%6.%7."/>
      <w:lvlJc w:val="left"/>
      <w:pPr>
        <w:tabs>
          <w:tab w:val="left" w:pos="0"/>
        </w:tabs>
        <w:ind w:left="1275" w:hanging="1275"/>
      </w:pPr>
      <w:rPr>
        <w:rFonts w:hint="default"/>
      </w:rPr>
    </w:lvl>
    <w:lvl w:ilvl="7" w:tentative="0">
      <w:start w:val="1"/>
      <w:numFmt w:val="decimal"/>
      <w:lvlText w:val="%1.%2.%3.%4.%5.%6.%7.%8."/>
      <w:lvlJc w:val="left"/>
      <w:pPr>
        <w:tabs>
          <w:tab w:val="left" w:pos="0"/>
        </w:tabs>
        <w:ind w:left="1418" w:hanging="1418"/>
      </w:pPr>
      <w:rPr>
        <w:rFonts w:hint="default"/>
      </w:rPr>
    </w:lvl>
    <w:lvl w:ilvl="8" w:tentative="0">
      <w:start w:val="1"/>
      <w:numFmt w:val="decimal"/>
      <w:lvlText w:val="%1.%2.%3.%4.%5.%6.%7.%8.%9."/>
      <w:lvlJc w:val="left"/>
      <w:pPr>
        <w:tabs>
          <w:tab w:val="left" w:pos="0"/>
        </w:tabs>
        <w:ind w:left="1558" w:hanging="1558"/>
      </w:pPr>
      <w:rPr>
        <w:rFonts w:hint="default"/>
      </w:rPr>
    </w:lvl>
  </w:abstractNum>
  <w:abstractNum w:abstractNumId="3">
    <w:nsid w:val="1CF80D43"/>
    <w:multiLevelType w:val="multilevel"/>
    <w:tmpl w:val="1CF80D43"/>
    <w:lvl w:ilvl="0" w:tentative="0">
      <w:start w:val="1"/>
      <w:numFmt w:val="chineseCountingThousand"/>
      <w:pStyle w:val="62"/>
      <w:lvlText w:val="第%1条"/>
      <w:lvlJc w:val="left"/>
      <w:pPr>
        <w:ind w:left="1696" w:hanging="420"/>
      </w:pPr>
      <w:rPr>
        <w:b/>
        <w:bCs/>
        <w:sz w:val="32"/>
        <w:szCs w:val="32"/>
        <w:lang w:val="en-US"/>
      </w:rPr>
    </w:lvl>
    <w:lvl w:ilvl="1" w:tentative="0">
      <w:start w:val="1"/>
      <w:numFmt w:val="chineseCountingThousand"/>
      <w:pStyle w:val="63"/>
      <w:suff w:val="nothing"/>
      <w:lvlText w:val="（%2）"/>
      <w:lvlJc w:val="left"/>
      <w:pPr>
        <w:ind w:left="1696"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decimal"/>
      <w:suff w:val="nothing"/>
      <w:lvlText w:val="%3."/>
      <w:lvlJc w:val="left"/>
      <w:pPr>
        <w:ind w:left="4106" w:hanging="420"/>
      </w:pPr>
      <w:rPr>
        <w:rFonts w:hint="eastAsia"/>
      </w:rPr>
    </w:lvl>
    <w:lvl w:ilvl="3" w:tentative="0">
      <w:start w:val="1"/>
      <w:numFmt w:val="decimal"/>
      <w:suff w:val="nothing"/>
      <w:lvlText w:val="（%4）"/>
      <w:lvlJc w:val="left"/>
      <w:pPr>
        <w:ind w:left="3255" w:hanging="42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0A4EDBF"/>
    <w:multiLevelType w:val="singleLevel"/>
    <w:tmpl w:val="20A4EDBF"/>
    <w:lvl w:ilvl="0" w:tentative="0">
      <w:start w:val="1"/>
      <w:numFmt w:val="chineseCounting"/>
      <w:suff w:val="space"/>
      <w:lvlText w:val="第%1章"/>
      <w:lvlJc w:val="left"/>
      <w:rPr>
        <w:rFonts w:hint="eastAsia"/>
      </w:rPr>
    </w:lvl>
  </w:abstractNum>
  <w:abstractNum w:abstractNumId="5">
    <w:nsid w:val="3C4843C6"/>
    <w:multiLevelType w:val="multilevel"/>
    <w:tmpl w:val="3C4843C6"/>
    <w:lvl w:ilvl="0" w:tentative="0">
      <w:start w:val="1"/>
      <w:numFmt w:val="chineseCounting"/>
      <w:suff w:val="nothing"/>
      <w:lvlText w:val="%1、"/>
      <w:lvlJc w:val="left"/>
      <w:pPr>
        <w:ind w:left="0" w:firstLine="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77930C5B"/>
    <w:multiLevelType w:val="singleLevel"/>
    <w:tmpl w:val="77930C5B"/>
    <w:lvl w:ilvl="0" w:tentative="0">
      <w:start w:val="3"/>
      <w:numFmt w:val="decimal"/>
      <w:lvlText w:val="%1."/>
      <w:lvlJc w:val="left"/>
      <w:pPr>
        <w:tabs>
          <w:tab w:val="left" w:pos="312"/>
        </w:tabs>
      </w:pPr>
    </w:lvl>
  </w:abstractNum>
  <w:num w:numId="1">
    <w:abstractNumId w:val="3"/>
  </w:num>
  <w:num w:numId="2">
    <w:abstractNumId w:val="4"/>
  </w:num>
  <w:num w:numId="3">
    <w:abstractNumId w:val="6"/>
  </w:num>
  <w:num w:numId="4">
    <w:abstractNumId w:val="0"/>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ZTcxMmU0ZTFmMGRmNmViYWM0N2M5NmE3NmZjOTcifQ=="/>
  </w:docVars>
  <w:rsids>
    <w:rsidRoot w:val="001A07FD"/>
    <w:rsid w:val="0000093D"/>
    <w:rsid w:val="000013B2"/>
    <w:rsid w:val="0000280E"/>
    <w:rsid w:val="00003AF9"/>
    <w:rsid w:val="00026825"/>
    <w:rsid w:val="00033965"/>
    <w:rsid w:val="000636B3"/>
    <w:rsid w:val="00086DB0"/>
    <w:rsid w:val="0009057F"/>
    <w:rsid w:val="0009094F"/>
    <w:rsid w:val="00091E0C"/>
    <w:rsid w:val="000B60B3"/>
    <w:rsid w:val="000B736F"/>
    <w:rsid w:val="000D0527"/>
    <w:rsid w:val="000F1A17"/>
    <w:rsid w:val="0011032D"/>
    <w:rsid w:val="001113BD"/>
    <w:rsid w:val="00113A00"/>
    <w:rsid w:val="001248AD"/>
    <w:rsid w:val="001254E6"/>
    <w:rsid w:val="00132C09"/>
    <w:rsid w:val="001404E2"/>
    <w:rsid w:val="00143A71"/>
    <w:rsid w:val="00145604"/>
    <w:rsid w:val="00160AFE"/>
    <w:rsid w:val="00172F05"/>
    <w:rsid w:val="00180065"/>
    <w:rsid w:val="00182CB0"/>
    <w:rsid w:val="00184416"/>
    <w:rsid w:val="0018624F"/>
    <w:rsid w:val="001A07FD"/>
    <w:rsid w:val="001A57DF"/>
    <w:rsid w:val="001B7434"/>
    <w:rsid w:val="001C40D0"/>
    <w:rsid w:val="001C5A7A"/>
    <w:rsid w:val="001D0362"/>
    <w:rsid w:val="001F0101"/>
    <w:rsid w:val="001F378B"/>
    <w:rsid w:val="00210AE4"/>
    <w:rsid w:val="00220B84"/>
    <w:rsid w:val="00223309"/>
    <w:rsid w:val="002235B9"/>
    <w:rsid w:val="002300FF"/>
    <w:rsid w:val="0024371E"/>
    <w:rsid w:val="002479CB"/>
    <w:rsid w:val="00253C2F"/>
    <w:rsid w:val="00284C13"/>
    <w:rsid w:val="00284F9D"/>
    <w:rsid w:val="002C3238"/>
    <w:rsid w:val="002C4F64"/>
    <w:rsid w:val="003027E9"/>
    <w:rsid w:val="00304734"/>
    <w:rsid w:val="00313329"/>
    <w:rsid w:val="00314021"/>
    <w:rsid w:val="00316780"/>
    <w:rsid w:val="00317818"/>
    <w:rsid w:val="00324338"/>
    <w:rsid w:val="0032491A"/>
    <w:rsid w:val="003347CA"/>
    <w:rsid w:val="003440E5"/>
    <w:rsid w:val="00346AC4"/>
    <w:rsid w:val="00350655"/>
    <w:rsid w:val="0036146A"/>
    <w:rsid w:val="00371BB6"/>
    <w:rsid w:val="0037632D"/>
    <w:rsid w:val="00376557"/>
    <w:rsid w:val="0037686C"/>
    <w:rsid w:val="00376EF1"/>
    <w:rsid w:val="003815C9"/>
    <w:rsid w:val="00396332"/>
    <w:rsid w:val="003B4871"/>
    <w:rsid w:val="003C43CE"/>
    <w:rsid w:val="003C6633"/>
    <w:rsid w:val="003E46C2"/>
    <w:rsid w:val="003E4C5A"/>
    <w:rsid w:val="00403F20"/>
    <w:rsid w:val="00412085"/>
    <w:rsid w:val="00417D20"/>
    <w:rsid w:val="0043280C"/>
    <w:rsid w:val="004425BF"/>
    <w:rsid w:val="00444818"/>
    <w:rsid w:val="004736E7"/>
    <w:rsid w:val="00483E43"/>
    <w:rsid w:val="004931AD"/>
    <w:rsid w:val="004A1EB8"/>
    <w:rsid w:val="004A479C"/>
    <w:rsid w:val="004E0863"/>
    <w:rsid w:val="004E7830"/>
    <w:rsid w:val="004F374F"/>
    <w:rsid w:val="004F7082"/>
    <w:rsid w:val="00500138"/>
    <w:rsid w:val="005100B2"/>
    <w:rsid w:val="005129C0"/>
    <w:rsid w:val="00517E50"/>
    <w:rsid w:val="00532176"/>
    <w:rsid w:val="0053218E"/>
    <w:rsid w:val="005336DE"/>
    <w:rsid w:val="005355A9"/>
    <w:rsid w:val="005406A3"/>
    <w:rsid w:val="00541891"/>
    <w:rsid w:val="00542A32"/>
    <w:rsid w:val="00543C59"/>
    <w:rsid w:val="00544644"/>
    <w:rsid w:val="005451A9"/>
    <w:rsid w:val="00552741"/>
    <w:rsid w:val="0055642A"/>
    <w:rsid w:val="00556688"/>
    <w:rsid w:val="00561368"/>
    <w:rsid w:val="005652C3"/>
    <w:rsid w:val="00572B7B"/>
    <w:rsid w:val="00575E83"/>
    <w:rsid w:val="00583614"/>
    <w:rsid w:val="00592494"/>
    <w:rsid w:val="005B0A72"/>
    <w:rsid w:val="005B0CD6"/>
    <w:rsid w:val="005B0DA8"/>
    <w:rsid w:val="005B176F"/>
    <w:rsid w:val="005B1967"/>
    <w:rsid w:val="005F0A9F"/>
    <w:rsid w:val="005F3402"/>
    <w:rsid w:val="005F3C8A"/>
    <w:rsid w:val="00603C45"/>
    <w:rsid w:val="006060A1"/>
    <w:rsid w:val="0061118B"/>
    <w:rsid w:val="00620900"/>
    <w:rsid w:val="006218B7"/>
    <w:rsid w:val="00622923"/>
    <w:rsid w:val="00630220"/>
    <w:rsid w:val="0063590D"/>
    <w:rsid w:val="00647332"/>
    <w:rsid w:val="006555ED"/>
    <w:rsid w:val="00662A3D"/>
    <w:rsid w:val="00670B46"/>
    <w:rsid w:val="0067520A"/>
    <w:rsid w:val="006842C0"/>
    <w:rsid w:val="00697996"/>
    <w:rsid w:val="006A37B6"/>
    <w:rsid w:val="006A5253"/>
    <w:rsid w:val="006A6C89"/>
    <w:rsid w:val="006B4E0D"/>
    <w:rsid w:val="006C2CED"/>
    <w:rsid w:val="006E30E2"/>
    <w:rsid w:val="007049B8"/>
    <w:rsid w:val="007055F0"/>
    <w:rsid w:val="00706979"/>
    <w:rsid w:val="00707FF5"/>
    <w:rsid w:val="00713280"/>
    <w:rsid w:val="00714FBD"/>
    <w:rsid w:val="00761E55"/>
    <w:rsid w:val="00765C80"/>
    <w:rsid w:val="00773916"/>
    <w:rsid w:val="00781A92"/>
    <w:rsid w:val="0078304B"/>
    <w:rsid w:val="00793D06"/>
    <w:rsid w:val="007A03FA"/>
    <w:rsid w:val="007A388B"/>
    <w:rsid w:val="007B4912"/>
    <w:rsid w:val="007C0520"/>
    <w:rsid w:val="007C49FC"/>
    <w:rsid w:val="007D7F61"/>
    <w:rsid w:val="007E6B6A"/>
    <w:rsid w:val="007F0F1D"/>
    <w:rsid w:val="007F545E"/>
    <w:rsid w:val="00802276"/>
    <w:rsid w:val="00803A82"/>
    <w:rsid w:val="00804D04"/>
    <w:rsid w:val="00805DC5"/>
    <w:rsid w:val="00816F9A"/>
    <w:rsid w:val="00820B56"/>
    <w:rsid w:val="00824069"/>
    <w:rsid w:val="0086358C"/>
    <w:rsid w:val="00863A5F"/>
    <w:rsid w:val="00865994"/>
    <w:rsid w:val="00867C15"/>
    <w:rsid w:val="008704DC"/>
    <w:rsid w:val="008766B4"/>
    <w:rsid w:val="008778B5"/>
    <w:rsid w:val="00877FA2"/>
    <w:rsid w:val="00883488"/>
    <w:rsid w:val="00883BC0"/>
    <w:rsid w:val="00886285"/>
    <w:rsid w:val="008872AB"/>
    <w:rsid w:val="0089329A"/>
    <w:rsid w:val="008940EB"/>
    <w:rsid w:val="008A1972"/>
    <w:rsid w:val="008A371A"/>
    <w:rsid w:val="008A3BDE"/>
    <w:rsid w:val="008B4472"/>
    <w:rsid w:val="008D4398"/>
    <w:rsid w:val="008D50BE"/>
    <w:rsid w:val="008D5F32"/>
    <w:rsid w:val="008E3717"/>
    <w:rsid w:val="008F45A8"/>
    <w:rsid w:val="008F6479"/>
    <w:rsid w:val="00905380"/>
    <w:rsid w:val="009077A2"/>
    <w:rsid w:val="009153A6"/>
    <w:rsid w:val="00916252"/>
    <w:rsid w:val="00921A67"/>
    <w:rsid w:val="00923C63"/>
    <w:rsid w:val="00924DC4"/>
    <w:rsid w:val="00926317"/>
    <w:rsid w:val="009325D0"/>
    <w:rsid w:val="00937F0E"/>
    <w:rsid w:val="009459BE"/>
    <w:rsid w:val="00956473"/>
    <w:rsid w:val="0096217F"/>
    <w:rsid w:val="0096667A"/>
    <w:rsid w:val="0097286B"/>
    <w:rsid w:val="009737CB"/>
    <w:rsid w:val="00984970"/>
    <w:rsid w:val="00984F6F"/>
    <w:rsid w:val="009913CF"/>
    <w:rsid w:val="009937CB"/>
    <w:rsid w:val="009A0CFE"/>
    <w:rsid w:val="009B0CB9"/>
    <w:rsid w:val="009B3FC3"/>
    <w:rsid w:val="009D1D60"/>
    <w:rsid w:val="009E04F1"/>
    <w:rsid w:val="009E18B7"/>
    <w:rsid w:val="009E6B52"/>
    <w:rsid w:val="009F4950"/>
    <w:rsid w:val="00A005EE"/>
    <w:rsid w:val="00A01025"/>
    <w:rsid w:val="00A05141"/>
    <w:rsid w:val="00A066DE"/>
    <w:rsid w:val="00A12ACE"/>
    <w:rsid w:val="00A1689C"/>
    <w:rsid w:val="00A36387"/>
    <w:rsid w:val="00A374F3"/>
    <w:rsid w:val="00A406DE"/>
    <w:rsid w:val="00A44FFF"/>
    <w:rsid w:val="00A5221A"/>
    <w:rsid w:val="00A60E65"/>
    <w:rsid w:val="00A73EA0"/>
    <w:rsid w:val="00A82B3B"/>
    <w:rsid w:val="00A82D96"/>
    <w:rsid w:val="00A94B72"/>
    <w:rsid w:val="00AA1C97"/>
    <w:rsid w:val="00AB1AE2"/>
    <w:rsid w:val="00AB2B53"/>
    <w:rsid w:val="00AC275C"/>
    <w:rsid w:val="00AC2A21"/>
    <w:rsid w:val="00AD4FFD"/>
    <w:rsid w:val="00AD5B8A"/>
    <w:rsid w:val="00AD7173"/>
    <w:rsid w:val="00AE3C91"/>
    <w:rsid w:val="00B27DDC"/>
    <w:rsid w:val="00B336B2"/>
    <w:rsid w:val="00B7266A"/>
    <w:rsid w:val="00B812CE"/>
    <w:rsid w:val="00B823A1"/>
    <w:rsid w:val="00BA43ED"/>
    <w:rsid w:val="00BA7955"/>
    <w:rsid w:val="00BB67C4"/>
    <w:rsid w:val="00BC072B"/>
    <w:rsid w:val="00BD205F"/>
    <w:rsid w:val="00BD73D1"/>
    <w:rsid w:val="00BD79AC"/>
    <w:rsid w:val="00BE424B"/>
    <w:rsid w:val="00BF19A4"/>
    <w:rsid w:val="00BF413C"/>
    <w:rsid w:val="00BF4B64"/>
    <w:rsid w:val="00BF7787"/>
    <w:rsid w:val="00C2257C"/>
    <w:rsid w:val="00C30981"/>
    <w:rsid w:val="00C34308"/>
    <w:rsid w:val="00C50141"/>
    <w:rsid w:val="00C52684"/>
    <w:rsid w:val="00C54D4B"/>
    <w:rsid w:val="00C57E14"/>
    <w:rsid w:val="00C61887"/>
    <w:rsid w:val="00C618D6"/>
    <w:rsid w:val="00C709C5"/>
    <w:rsid w:val="00C72BB8"/>
    <w:rsid w:val="00C76EB2"/>
    <w:rsid w:val="00C83164"/>
    <w:rsid w:val="00C95E2E"/>
    <w:rsid w:val="00C97F9F"/>
    <w:rsid w:val="00CA0651"/>
    <w:rsid w:val="00CC0B3B"/>
    <w:rsid w:val="00CC4709"/>
    <w:rsid w:val="00CD210C"/>
    <w:rsid w:val="00CE112A"/>
    <w:rsid w:val="00CF3A7F"/>
    <w:rsid w:val="00D000CB"/>
    <w:rsid w:val="00D0774B"/>
    <w:rsid w:val="00D27755"/>
    <w:rsid w:val="00D32812"/>
    <w:rsid w:val="00D34D63"/>
    <w:rsid w:val="00D71F18"/>
    <w:rsid w:val="00D85F24"/>
    <w:rsid w:val="00D9087C"/>
    <w:rsid w:val="00D97545"/>
    <w:rsid w:val="00DA5007"/>
    <w:rsid w:val="00DB4393"/>
    <w:rsid w:val="00DB5BC9"/>
    <w:rsid w:val="00DC61A4"/>
    <w:rsid w:val="00DE6281"/>
    <w:rsid w:val="00DF39AD"/>
    <w:rsid w:val="00E01963"/>
    <w:rsid w:val="00E037CC"/>
    <w:rsid w:val="00E04CED"/>
    <w:rsid w:val="00E0654D"/>
    <w:rsid w:val="00E44453"/>
    <w:rsid w:val="00E650D5"/>
    <w:rsid w:val="00E664C0"/>
    <w:rsid w:val="00E66887"/>
    <w:rsid w:val="00E777D2"/>
    <w:rsid w:val="00E80B8B"/>
    <w:rsid w:val="00E964D4"/>
    <w:rsid w:val="00EA04F9"/>
    <w:rsid w:val="00EA0909"/>
    <w:rsid w:val="00EA544A"/>
    <w:rsid w:val="00EB7CD2"/>
    <w:rsid w:val="00EC3D2E"/>
    <w:rsid w:val="00EC64F9"/>
    <w:rsid w:val="00ED0EE2"/>
    <w:rsid w:val="00ED0F81"/>
    <w:rsid w:val="00ED170D"/>
    <w:rsid w:val="00ED7AA1"/>
    <w:rsid w:val="00EE0BE4"/>
    <w:rsid w:val="00EF5289"/>
    <w:rsid w:val="00EF6E3F"/>
    <w:rsid w:val="00F02A39"/>
    <w:rsid w:val="00F036C9"/>
    <w:rsid w:val="00F04665"/>
    <w:rsid w:val="00F04FBF"/>
    <w:rsid w:val="00F144B7"/>
    <w:rsid w:val="00F62E9F"/>
    <w:rsid w:val="00F774D7"/>
    <w:rsid w:val="00F81B6B"/>
    <w:rsid w:val="00F87F19"/>
    <w:rsid w:val="00FB007A"/>
    <w:rsid w:val="00FC0C38"/>
    <w:rsid w:val="00FC43A1"/>
    <w:rsid w:val="00FC5FD0"/>
    <w:rsid w:val="00FC78B0"/>
    <w:rsid w:val="01025A37"/>
    <w:rsid w:val="010F2176"/>
    <w:rsid w:val="011533D3"/>
    <w:rsid w:val="0123601C"/>
    <w:rsid w:val="012757C8"/>
    <w:rsid w:val="01301ABF"/>
    <w:rsid w:val="01312018"/>
    <w:rsid w:val="014B30FA"/>
    <w:rsid w:val="01614141"/>
    <w:rsid w:val="0170087A"/>
    <w:rsid w:val="017E7299"/>
    <w:rsid w:val="01804876"/>
    <w:rsid w:val="01924330"/>
    <w:rsid w:val="01B914AF"/>
    <w:rsid w:val="01BA1962"/>
    <w:rsid w:val="01BD1C95"/>
    <w:rsid w:val="01C70C78"/>
    <w:rsid w:val="01CC6861"/>
    <w:rsid w:val="01EA2B5A"/>
    <w:rsid w:val="01F67A7F"/>
    <w:rsid w:val="01F7345C"/>
    <w:rsid w:val="0206745D"/>
    <w:rsid w:val="02140D77"/>
    <w:rsid w:val="021C1248"/>
    <w:rsid w:val="02290933"/>
    <w:rsid w:val="022C0194"/>
    <w:rsid w:val="022D4D30"/>
    <w:rsid w:val="023E7457"/>
    <w:rsid w:val="024240C0"/>
    <w:rsid w:val="02443EEB"/>
    <w:rsid w:val="024A1251"/>
    <w:rsid w:val="024B4F97"/>
    <w:rsid w:val="024C6635"/>
    <w:rsid w:val="024D21D6"/>
    <w:rsid w:val="02730192"/>
    <w:rsid w:val="027B2C88"/>
    <w:rsid w:val="027D4F23"/>
    <w:rsid w:val="028C75B5"/>
    <w:rsid w:val="02982166"/>
    <w:rsid w:val="02AC5A72"/>
    <w:rsid w:val="02B202C7"/>
    <w:rsid w:val="02B33D32"/>
    <w:rsid w:val="02D70E08"/>
    <w:rsid w:val="02DE47A8"/>
    <w:rsid w:val="02EA412F"/>
    <w:rsid w:val="02FF2EB3"/>
    <w:rsid w:val="030A2589"/>
    <w:rsid w:val="03130C9A"/>
    <w:rsid w:val="03157DC2"/>
    <w:rsid w:val="031B2CA5"/>
    <w:rsid w:val="03250248"/>
    <w:rsid w:val="032859C3"/>
    <w:rsid w:val="032B053F"/>
    <w:rsid w:val="033032BD"/>
    <w:rsid w:val="0332405E"/>
    <w:rsid w:val="03356E73"/>
    <w:rsid w:val="03406BAA"/>
    <w:rsid w:val="035F22B0"/>
    <w:rsid w:val="03600923"/>
    <w:rsid w:val="036602D3"/>
    <w:rsid w:val="037305EC"/>
    <w:rsid w:val="037449EB"/>
    <w:rsid w:val="037811F4"/>
    <w:rsid w:val="037D739A"/>
    <w:rsid w:val="039E140F"/>
    <w:rsid w:val="03A857A2"/>
    <w:rsid w:val="03AB51FA"/>
    <w:rsid w:val="03BE51E1"/>
    <w:rsid w:val="03C42873"/>
    <w:rsid w:val="03C42E3C"/>
    <w:rsid w:val="03CF7C4F"/>
    <w:rsid w:val="03E42333"/>
    <w:rsid w:val="03E54623"/>
    <w:rsid w:val="03E95A9C"/>
    <w:rsid w:val="03F8419B"/>
    <w:rsid w:val="03FC6040"/>
    <w:rsid w:val="04082A52"/>
    <w:rsid w:val="040B7076"/>
    <w:rsid w:val="040C5552"/>
    <w:rsid w:val="041D3B8B"/>
    <w:rsid w:val="041E6C38"/>
    <w:rsid w:val="04222C11"/>
    <w:rsid w:val="0425740B"/>
    <w:rsid w:val="042926A3"/>
    <w:rsid w:val="042D375A"/>
    <w:rsid w:val="04324C9F"/>
    <w:rsid w:val="0443383E"/>
    <w:rsid w:val="045D35D9"/>
    <w:rsid w:val="04654DC4"/>
    <w:rsid w:val="047667B8"/>
    <w:rsid w:val="047F280B"/>
    <w:rsid w:val="048164E5"/>
    <w:rsid w:val="049462DE"/>
    <w:rsid w:val="04A20E0C"/>
    <w:rsid w:val="04AE10EA"/>
    <w:rsid w:val="04C01C5A"/>
    <w:rsid w:val="04C072CD"/>
    <w:rsid w:val="04C26BF4"/>
    <w:rsid w:val="04C85125"/>
    <w:rsid w:val="04CC7C6B"/>
    <w:rsid w:val="04D15061"/>
    <w:rsid w:val="04D408DC"/>
    <w:rsid w:val="04D94F44"/>
    <w:rsid w:val="04DE2D9B"/>
    <w:rsid w:val="04E54D48"/>
    <w:rsid w:val="04E860AA"/>
    <w:rsid w:val="04E95B0A"/>
    <w:rsid w:val="04EC5FA1"/>
    <w:rsid w:val="04FC3C10"/>
    <w:rsid w:val="04FD22C2"/>
    <w:rsid w:val="05084F0D"/>
    <w:rsid w:val="050956C0"/>
    <w:rsid w:val="05187D21"/>
    <w:rsid w:val="053D376D"/>
    <w:rsid w:val="053E3BA1"/>
    <w:rsid w:val="054E4D41"/>
    <w:rsid w:val="057C061B"/>
    <w:rsid w:val="0580185D"/>
    <w:rsid w:val="059262F7"/>
    <w:rsid w:val="0596776E"/>
    <w:rsid w:val="059B5F8E"/>
    <w:rsid w:val="05A0049A"/>
    <w:rsid w:val="05AC4812"/>
    <w:rsid w:val="05AD77C3"/>
    <w:rsid w:val="05AE2D57"/>
    <w:rsid w:val="05C535A6"/>
    <w:rsid w:val="05D53592"/>
    <w:rsid w:val="05DF00ED"/>
    <w:rsid w:val="05F12C37"/>
    <w:rsid w:val="05FD2B10"/>
    <w:rsid w:val="05FD48BE"/>
    <w:rsid w:val="06035FB6"/>
    <w:rsid w:val="060D49F6"/>
    <w:rsid w:val="060D4BC6"/>
    <w:rsid w:val="063900CA"/>
    <w:rsid w:val="06431CCA"/>
    <w:rsid w:val="06557011"/>
    <w:rsid w:val="065A3F7A"/>
    <w:rsid w:val="06720437"/>
    <w:rsid w:val="06896484"/>
    <w:rsid w:val="068A084B"/>
    <w:rsid w:val="06A22ABD"/>
    <w:rsid w:val="06A2574F"/>
    <w:rsid w:val="06AC5AB4"/>
    <w:rsid w:val="06B97603"/>
    <w:rsid w:val="06C867AC"/>
    <w:rsid w:val="06DD56A8"/>
    <w:rsid w:val="06E43D08"/>
    <w:rsid w:val="070362DC"/>
    <w:rsid w:val="070619D4"/>
    <w:rsid w:val="07064C57"/>
    <w:rsid w:val="071161E4"/>
    <w:rsid w:val="07156355"/>
    <w:rsid w:val="071D0C28"/>
    <w:rsid w:val="072D5B54"/>
    <w:rsid w:val="07413064"/>
    <w:rsid w:val="074F7829"/>
    <w:rsid w:val="07562A93"/>
    <w:rsid w:val="076564ED"/>
    <w:rsid w:val="0766405F"/>
    <w:rsid w:val="076F426C"/>
    <w:rsid w:val="07746E01"/>
    <w:rsid w:val="07747A5D"/>
    <w:rsid w:val="077C6EA8"/>
    <w:rsid w:val="078523E2"/>
    <w:rsid w:val="07870AFB"/>
    <w:rsid w:val="07A1396F"/>
    <w:rsid w:val="07A3722F"/>
    <w:rsid w:val="07AC3018"/>
    <w:rsid w:val="07B16A3E"/>
    <w:rsid w:val="07B65F6B"/>
    <w:rsid w:val="07BE249F"/>
    <w:rsid w:val="07C846A8"/>
    <w:rsid w:val="07CA340E"/>
    <w:rsid w:val="07CC4EFF"/>
    <w:rsid w:val="07D13516"/>
    <w:rsid w:val="07D6114F"/>
    <w:rsid w:val="07DC0946"/>
    <w:rsid w:val="07DC2166"/>
    <w:rsid w:val="07DC322C"/>
    <w:rsid w:val="07E01099"/>
    <w:rsid w:val="07E64692"/>
    <w:rsid w:val="07F50C16"/>
    <w:rsid w:val="07F67978"/>
    <w:rsid w:val="07FB26AE"/>
    <w:rsid w:val="08065D90"/>
    <w:rsid w:val="08095CCE"/>
    <w:rsid w:val="08107DC8"/>
    <w:rsid w:val="081F03E2"/>
    <w:rsid w:val="08256F48"/>
    <w:rsid w:val="08317ECD"/>
    <w:rsid w:val="08365435"/>
    <w:rsid w:val="083E0654"/>
    <w:rsid w:val="084272AE"/>
    <w:rsid w:val="084919E5"/>
    <w:rsid w:val="084B00ED"/>
    <w:rsid w:val="08533769"/>
    <w:rsid w:val="08847D87"/>
    <w:rsid w:val="088A5400"/>
    <w:rsid w:val="089A4BD1"/>
    <w:rsid w:val="089E56AF"/>
    <w:rsid w:val="08A1040D"/>
    <w:rsid w:val="08A96CD9"/>
    <w:rsid w:val="08B0009A"/>
    <w:rsid w:val="08BB6BFA"/>
    <w:rsid w:val="08BD3F4B"/>
    <w:rsid w:val="08C044A0"/>
    <w:rsid w:val="08C62846"/>
    <w:rsid w:val="08D22A7B"/>
    <w:rsid w:val="08D31006"/>
    <w:rsid w:val="08DB0795"/>
    <w:rsid w:val="08DE3382"/>
    <w:rsid w:val="08E05FDD"/>
    <w:rsid w:val="08EC649A"/>
    <w:rsid w:val="08EE2294"/>
    <w:rsid w:val="08F77C00"/>
    <w:rsid w:val="08F96B2F"/>
    <w:rsid w:val="08FB002A"/>
    <w:rsid w:val="08FB7D62"/>
    <w:rsid w:val="090C0F64"/>
    <w:rsid w:val="091F2158"/>
    <w:rsid w:val="092A2AC4"/>
    <w:rsid w:val="092B455A"/>
    <w:rsid w:val="0931207A"/>
    <w:rsid w:val="09344F53"/>
    <w:rsid w:val="093906D8"/>
    <w:rsid w:val="093E6C11"/>
    <w:rsid w:val="094D5E95"/>
    <w:rsid w:val="09521670"/>
    <w:rsid w:val="09575B61"/>
    <w:rsid w:val="09703AB9"/>
    <w:rsid w:val="09733FA3"/>
    <w:rsid w:val="09734004"/>
    <w:rsid w:val="0977168F"/>
    <w:rsid w:val="09795F27"/>
    <w:rsid w:val="0981256E"/>
    <w:rsid w:val="09925E73"/>
    <w:rsid w:val="09994350"/>
    <w:rsid w:val="09AF7B3F"/>
    <w:rsid w:val="09C57CF0"/>
    <w:rsid w:val="09CD3D1B"/>
    <w:rsid w:val="09D83BE4"/>
    <w:rsid w:val="09F1006B"/>
    <w:rsid w:val="09F67F84"/>
    <w:rsid w:val="09F9316B"/>
    <w:rsid w:val="09FC34DE"/>
    <w:rsid w:val="0A0F779C"/>
    <w:rsid w:val="0A1474F4"/>
    <w:rsid w:val="0A183A20"/>
    <w:rsid w:val="0A1A4C7D"/>
    <w:rsid w:val="0A262B9A"/>
    <w:rsid w:val="0A28790D"/>
    <w:rsid w:val="0A2D01F0"/>
    <w:rsid w:val="0A5371D6"/>
    <w:rsid w:val="0A553658"/>
    <w:rsid w:val="0A5707D6"/>
    <w:rsid w:val="0A6A65D8"/>
    <w:rsid w:val="0A810269"/>
    <w:rsid w:val="0A901F8B"/>
    <w:rsid w:val="0A9713FA"/>
    <w:rsid w:val="0A9B4110"/>
    <w:rsid w:val="0AAA1760"/>
    <w:rsid w:val="0AB24532"/>
    <w:rsid w:val="0ABA6138"/>
    <w:rsid w:val="0AC216A5"/>
    <w:rsid w:val="0AC50208"/>
    <w:rsid w:val="0AEB32E5"/>
    <w:rsid w:val="0AF107DD"/>
    <w:rsid w:val="0AF31380"/>
    <w:rsid w:val="0AF62D40"/>
    <w:rsid w:val="0B150E48"/>
    <w:rsid w:val="0B1835C3"/>
    <w:rsid w:val="0B1A2D41"/>
    <w:rsid w:val="0B1B3CE1"/>
    <w:rsid w:val="0B211BB0"/>
    <w:rsid w:val="0B217153"/>
    <w:rsid w:val="0B253A19"/>
    <w:rsid w:val="0B254E57"/>
    <w:rsid w:val="0B2A34DD"/>
    <w:rsid w:val="0B2C3ECB"/>
    <w:rsid w:val="0B3E081F"/>
    <w:rsid w:val="0B3F14BE"/>
    <w:rsid w:val="0B402E91"/>
    <w:rsid w:val="0B4603F4"/>
    <w:rsid w:val="0B4F1486"/>
    <w:rsid w:val="0B4F78FD"/>
    <w:rsid w:val="0B53032B"/>
    <w:rsid w:val="0B5516D7"/>
    <w:rsid w:val="0B562176"/>
    <w:rsid w:val="0B5E2A33"/>
    <w:rsid w:val="0B6338AF"/>
    <w:rsid w:val="0B684647"/>
    <w:rsid w:val="0B7B04BB"/>
    <w:rsid w:val="0B885EBC"/>
    <w:rsid w:val="0BAA52EB"/>
    <w:rsid w:val="0BB83C6F"/>
    <w:rsid w:val="0BCE7C92"/>
    <w:rsid w:val="0BD92501"/>
    <w:rsid w:val="0BE20F31"/>
    <w:rsid w:val="0BE2426F"/>
    <w:rsid w:val="0BF039C5"/>
    <w:rsid w:val="0BF72755"/>
    <w:rsid w:val="0C092397"/>
    <w:rsid w:val="0C190A0A"/>
    <w:rsid w:val="0C273E8E"/>
    <w:rsid w:val="0C312B42"/>
    <w:rsid w:val="0C367838"/>
    <w:rsid w:val="0C39708C"/>
    <w:rsid w:val="0C3C2F8D"/>
    <w:rsid w:val="0C3F6EAB"/>
    <w:rsid w:val="0C401919"/>
    <w:rsid w:val="0C4A232F"/>
    <w:rsid w:val="0C504988"/>
    <w:rsid w:val="0C5160B2"/>
    <w:rsid w:val="0C526B31"/>
    <w:rsid w:val="0C556C9B"/>
    <w:rsid w:val="0C5A3BCF"/>
    <w:rsid w:val="0C5B40D7"/>
    <w:rsid w:val="0C5E27AC"/>
    <w:rsid w:val="0CA20475"/>
    <w:rsid w:val="0CA97251"/>
    <w:rsid w:val="0CBE5BE1"/>
    <w:rsid w:val="0CD4198E"/>
    <w:rsid w:val="0CE137CF"/>
    <w:rsid w:val="0CF47059"/>
    <w:rsid w:val="0CF66726"/>
    <w:rsid w:val="0D1E25D7"/>
    <w:rsid w:val="0D262447"/>
    <w:rsid w:val="0D330BC5"/>
    <w:rsid w:val="0D3416CE"/>
    <w:rsid w:val="0D3700C7"/>
    <w:rsid w:val="0D3B7FF1"/>
    <w:rsid w:val="0D422962"/>
    <w:rsid w:val="0D423EAE"/>
    <w:rsid w:val="0D464A33"/>
    <w:rsid w:val="0D55791C"/>
    <w:rsid w:val="0D644F58"/>
    <w:rsid w:val="0D743B02"/>
    <w:rsid w:val="0D756FB8"/>
    <w:rsid w:val="0D7D3E0F"/>
    <w:rsid w:val="0D914310"/>
    <w:rsid w:val="0D9F1C65"/>
    <w:rsid w:val="0DA01161"/>
    <w:rsid w:val="0DC62517"/>
    <w:rsid w:val="0DCC7C72"/>
    <w:rsid w:val="0DCD3C64"/>
    <w:rsid w:val="0DD40E63"/>
    <w:rsid w:val="0DD40EBD"/>
    <w:rsid w:val="0DD84CEF"/>
    <w:rsid w:val="0DDC547B"/>
    <w:rsid w:val="0DE5268F"/>
    <w:rsid w:val="0DE649BE"/>
    <w:rsid w:val="0DE82542"/>
    <w:rsid w:val="0DF13CCD"/>
    <w:rsid w:val="0E056209"/>
    <w:rsid w:val="0E0E67B9"/>
    <w:rsid w:val="0E1123EC"/>
    <w:rsid w:val="0E11373C"/>
    <w:rsid w:val="0E256B16"/>
    <w:rsid w:val="0E2727E3"/>
    <w:rsid w:val="0E2A37B2"/>
    <w:rsid w:val="0E317099"/>
    <w:rsid w:val="0E3A792E"/>
    <w:rsid w:val="0E4002A5"/>
    <w:rsid w:val="0E611528"/>
    <w:rsid w:val="0E6A4C34"/>
    <w:rsid w:val="0E6C6D1E"/>
    <w:rsid w:val="0E851E45"/>
    <w:rsid w:val="0E85404C"/>
    <w:rsid w:val="0E895B7F"/>
    <w:rsid w:val="0E8D60ED"/>
    <w:rsid w:val="0E9249D8"/>
    <w:rsid w:val="0E9B0F0B"/>
    <w:rsid w:val="0EA40291"/>
    <w:rsid w:val="0EAE2040"/>
    <w:rsid w:val="0EC55FD7"/>
    <w:rsid w:val="0ECB69EA"/>
    <w:rsid w:val="0ECF6F75"/>
    <w:rsid w:val="0ED1559A"/>
    <w:rsid w:val="0ED242D2"/>
    <w:rsid w:val="0EDD61F6"/>
    <w:rsid w:val="0EDF0476"/>
    <w:rsid w:val="0EE17975"/>
    <w:rsid w:val="0EF60443"/>
    <w:rsid w:val="0EF673FA"/>
    <w:rsid w:val="0EFD73A4"/>
    <w:rsid w:val="0F096DD6"/>
    <w:rsid w:val="0F0C4B1B"/>
    <w:rsid w:val="0F0C4F27"/>
    <w:rsid w:val="0F0D6C3B"/>
    <w:rsid w:val="0F0F5460"/>
    <w:rsid w:val="0F2426C9"/>
    <w:rsid w:val="0F264FE7"/>
    <w:rsid w:val="0F29227F"/>
    <w:rsid w:val="0F3375A2"/>
    <w:rsid w:val="0F541C73"/>
    <w:rsid w:val="0F6B12D9"/>
    <w:rsid w:val="0F701CDC"/>
    <w:rsid w:val="0F78273C"/>
    <w:rsid w:val="0F795242"/>
    <w:rsid w:val="0F7958FE"/>
    <w:rsid w:val="0F7A6F7F"/>
    <w:rsid w:val="0F7C5C0D"/>
    <w:rsid w:val="0F7E2DA4"/>
    <w:rsid w:val="0F80697A"/>
    <w:rsid w:val="0F836E93"/>
    <w:rsid w:val="0F841580"/>
    <w:rsid w:val="0F844F0D"/>
    <w:rsid w:val="0F883177"/>
    <w:rsid w:val="0F8B052B"/>
    <w:rsid w:val="0F8C6010"/>
    <w:rsid w:val="0F934158"/>
    <w:rsid w:val="0F94341D"/>
    <w:rsid w:val="0F946B48"/>
    <w:rsid w:val="0F987BB1"/>
    <w:rsid w:val="0F9A32A5"/>
    <w:rsid w:val="0FAC0D64"/>
    <w:rsid w:val="0FAD2F6D"/>
    <w:rsid w:val="0FAE25F2"/>
    <w:rsid w:val="0FB056A7"/>
    <w:rsid w:val="0FB1037C"/>
    <w:rsid w:val="0FB52782"/>
    <w:rsid w:val="0FDD2A1C"/>
    <w:rsid w:val="0FDE37A4"/>
    <w:rsid w:val="100752D2"/>
    <w:rsid w:val="100D6A7B"/>
    <w:rsid w:val="10192D3D"/>
    <w:rsid w:val="102021E8"/>
    <w:rsid w:val="10207D16"/>
    <w:rsid w:val="10247495"/>
    <w:rsid w:val="102A70A8"/>
    <w:rsid w:val="102E6AA2"/>
    <w:rsid w:val="103247B3"/>
    <w:rsid w:val="103E61FE"/>
    <w:rsid w:val="1042731E"/>
    <w:rsid w:val="104E7F92"/>
    <w:rsid w:val="1050587F"/>
    <w:rsid w:val="105A7962"/>
    <w:rsid w:val="10602134"/>
    <w:rsid w:val="1061150C"/>
    <w:rsid w:val="10736BDE"/>
    <w:rsid w:val="10744371"/>
    <w:rsid w:val="108B6996"/>
    <w:rsid w:val="108E0E73"/>
    <w:rsid w:val="10A839CA"/>
    <w:rsid w:val="10AA0A9A"/>
    <w:rsid w:val="10AF655B"/>
    <w:rsid w:val="10B35443"/>
    <w:rsid w:val="10B42DEB"/>
    <w:rsid w:val="10B74703"/>
    <w:rsid w:val="10C84DEB"/>
    <w:rsid w:val="10DA4B72"/>
    <w:rsid w:val="10E0563D"/>
    <w:rsid w:val="10E073EA"/>
    <w:rsid w:val="10E17D24"/>
    <w:rsid w:val="10E43BA9"/>
    <w:rsid w:val="10E62609"/>
    <w:rsid w:val="10E70020"/>
    <w:rsid w:val="10E873B2"/>
    <w:rsid w:val="10F93FE9"/>
    <w:rsid w:val="110000F0"/>
    <w:rsid w:val="110A705A"/>
    <w:rsid w:val="111E393A"/>
    <w:rsid w:val="112D5A17"/>
    <w:rsid w:val="112F6737"/>
    <w:rsid w:val="11303ECA"/>
    <w:rsid w:val="11445071"/>
    <w:rsid w:val="11446424"/>
    <w:rsid w:val="114E1F90"/>
    <w:rsid w:val="115B2D88"/>
    <w:rsid w:val="11641B0A"/>
    <w:rsid w:val="11750C39"/>
    <w:rsid w:val="117B4074"/>
    <w:rsid w:val="118636BA"/>
    <w:rsid w:val="118834E8"/>
    <w:rsid w:val="11896031"/>
    <w:rsid w:val="118B3031"/>
    <w:rsid w:val="11942705"/>
    <w:rsid w:val="11995E1B"/>
    <w:rsid w:val="11A4793D"/>
    <w:rsid w:val="11AD3799"/>
    <w:rsid w:val="11B87529"/>
    <w:rsid w:val="11BF38FA"/>
    <w:rsid w:val="11C52008"/>
    <w:rsid w:val="11C853CD"/>
    <w:rsid w:val="11DC3895"/>
    <w:rsid w:val="11DE1389"/>
    <w:rsid w:val="11DF3EF9"/>
    <w:rsid w:val="11E4127E"/>
    <w:rsid w:val="11E5640E"/>
    <w:rsid w:val="11E57B67"/>
    <w:rsid w:val="11F26B4B"/>
    <w:rsid w:val="1205792B"/>
    <w:rsid w:val="120650CA"/>
    <w:rsid w:val="12220F12"/>
    <w:rsid w:val="12347D50"/>
    <w:rsid w:val="12383670"/>
    <w:rsid w:val="124368EB"/>
    <w:rsid w:val="12611A06"/>
    <w:rsid w:val="12623504"/>
    <w:rsid w:val="12651482"/>
    <w:rsid w:val="126A757D"/>
    <w:rsid w:val="127E2986"/>
    <w:rsid w:val="127F79EB"/>
    <w:rsid w:val="12802B6B"/>
    <w:rsid w:val="12854777"/>
    <w:rsid w:val="12A0561E"/>
    <w:rsid w:val="12A66205"/>
    <w:rsid w:val="12B641AF"/>
    <w:rsid w:val="12D36C4C"/>
    <w:rsid w:val="12D73B1B"/>
    <w:rsid w:val="12D926AB"/>
    <w:rsid w:val="12E77F91"/>
    <w:rsid w:val="12EA1900"/>
    <w:rsid w:val="12F37627"/>
    <w:rsid w:val="12F4251D"/>
    <w:rsid w:val="13010F83"/>
    <w:rsid w:val="131514D9"/>
    <w:rsid w:val="13170A24"/>
    <w:rsid w:val="13195AB9"/>
    <w:rsid w:val="13225654"/>
    <w:rsid w:val="132E43B5"/>
    <w:rsid w:val="133F55C4"/>
    <w:rsid w:val="13490205"/>
    <w:rsid w:val="13651747"/>
    <w:rsid w:val="136B4523"/>
    <w:rsid w:val="13714672"/>
    <w:rsid w:val="13722AF6"/>
    <w:rsid w:val="137746F5"/>
    <w:rsid w:val="13934B68"/>
    <w:rsid w:val="13982333"/>
    <w:rsid w:val="139B2426"/>
    <w:rsid w:val="139E05E7"/>
    <w:rsid w:val="13A825CD"/>
    <w:rsid w:val="13A9004F"/>
    <w:rsid w:val="13C72262"/>
    <w:rsid w:val="13D50017"/>
    <w:rsid w:val="13DD188A"/>
    <w:rsid w:val="13E57E1F"/>
    <w:rsid w:val="13FA3627"/>
    <w:rsid w:val="13FB5036"/>
    <w:rsid w:val="140D4429"/>
    <w:rsid w:val="140E57F5"/>
    <w:rsid w:val="14105F14"/>
    <w:rsid w:val="141D1969"/>
    <w:rsid w:val="14237BE5"/>
    <w:rsid w:val="143305F2"/>
    <w:rsid w:val="14353C17"/>
    <w:rsid w:val="14363ACC"/>
    <w:rsid w:val="143A427F"/>
    <w:rsid w:val="144514C5"/>
    <w:rsid w:val="144D6FE9"/>
    <w:rsid w:val="1456780D"/>
    <w:rsid w:val="14567BA9"/>
    <w:rsid w:val="145C1151"/>
    <w:rsid w:val="145F5E47"/>
    <w:rsid w:val="14625014"/>
    <w:rsid w:val="1464065A"/>
    <w:rsid w:val="1466789B"/>
    <w:rsid w:val="146733DC"/>
    <w:rsid w:val="146F301B"/>
    <w:rsid w:val="1475076A"/>
    <w:rsid w:val="147C16AC"/>
    <w:rsid w:val="14825309"/>
    <w:rsid w:val="1486370F"/>
    <w:rsid w:val="14903CC0"/>
    <w:rsid w:val="14A93723"/>
    <w:rsid w:val="14C64188"/>
    <w:rsid w:val="14D312C2"/>
    <w:rsid w:val="14E21B45"/>
    <w:rsid w:val="14EE28E4"/>
    <w:rsid w:val="14FE1835"/>
    <w:rsid w:val="15052123"/>
    <w:rsid w:val="15083589"/>
    <w:rsid w:val="1509549D"/>
    <w:rsid w:val="150B284B"/>
    <w:rsid w:val="15176DD2"/>
    <w:rsid w:val="15195806"/>
    <w:rsid w:val="151E5BFA"/>
    <w:rsid w:val="15282FD9"/>
    <w:rsid w:val="15302709"/>
    <w:rsid w:val="153822B5"/>
    <w:rsid w:val="153D54C3"/>
    <w:rsid w:val="153D6904"/>
    <w:rsid w:val="15412E70"/>
    <w:rsid w:val="155048DF"/>
    <w:rsid w:val="15595889"/>
    <w:rsid w:val="1559799F"/>
    <w:rsid w:val="1566387D"/>
    <w:rsid w:val="156D5EF8"/>
    <w:rsid w:val="15752AD1"/>
    <w:rsid w:val="15774DC7"/>
    <w:rsid w:val="1581564B"/>
    <w:rsid w:val="15AA4A59"/>
    <w:rsid w:val="15B37D7D"/>
    <w:rsid w:val="15B56500"/>
    <w:rsid w:val="15B764B8"/>
    <w:rsid w:val="15BA6B35"/>
    <w:rsid w:val="15BA7066"/>
    <w:rsid w:val="15BD2394"/>
    <w:rsid w:val="15D145E2"/>
    <w:rsid w:val="15D64DE0"/>
    <w:rsid w:val="15E71910"/>
    <w:rsid w:val="15E975DD"/>
    <w:rsid w:val="15EA0FA2"/>
    <w:rsid w:val="15F01F35"/>
    <w:rsid w:val="160649DC"/>
    <w:rsid w:val="16232CE1"/>
    <w:rsid w:val="162A59B4"/>
    <w:rsid w:val="162B6EB9"/>
    <w:rsid w:val="162C1100"/>
    <w:rsid w:val="162D381C"/>
    <w:rsid w:val="16361EF4"/>
    <w:rsid w:val="16411B98"/>
    <w:rsid w:val="16420569"/>
    <w:rsid w:val="16423BF6"/>
    <w:rsid w:val="164856A2"/>
    <w:rsid w:val="16576605"/>
    <w:rsid w:val="165B38E5"/>
    <w:rsid w:val="165B3ABD"/>
    <w:rsid w:val="165E0DD5"/>
    <w:rsid w:val="166B30D5"/>
    <w:rsid w:val="16844830"/>
    <w:rsid w:val="16864F47"/>
    <w:rsid w:val="168D1743"/>
    <w:rsid w:val="169452D6"/>
    <w:rsid w:val="169B2E7C"/>
    <w:rsid w:val="16A61447"/>
    <w:rsid w:val="16A9768A"/>
    <w:rsid w:val="16B3375E"/>
    <w:rsid w:val="16BD3B80"/>
    <w:rsid w:val="16BE50DE"/>
    <w:rsid w:val="16BE71C1"/>
    <w:rsid w:val="16C222AF"/>
    <w:rsid w:val="16C674DB"/>
    <w:rsid w:val="16C759ED"/>
    <w:rsid w:val="16CE0759"/>
    <w:rsid w:val="16DA7F08"/>
    <w:rsid w:val="16E00BE0"/>
    <w:rsid w:val="16E920E1"/>
    <w:rsid w:val="16F5338F"/>
    <w:rsid w:val="17047DC3"/>
    <w:rsid w:val="17057A51"/>
    <w:rsid w:val="17076D19"/>
    <w:rsid w:val="17160E32"/>
    <w:rsid w:val="17314265"/>
    <w:rsid w:val="17435337"/>
    <w:rsid w:val="17450DAB"/>
    <w:rsid w:val="17455B45"/>
    <w:rsid w:val="17507ED0"/>
    <w:rsid w:val="175D4615"/>
    <w:rsid w:val="176A0A7A"/>
    <w:rsid w:val="17891E00"/>
    <w:rsid w:val="17942940"/>
    <w:rsid w:val="17A9063A"/>
    <w:rsid w:val="17AE63AD"/>
    <w:rsid w:val="17B578A2"/>
    <w:rsid w:val="17C45BC4"/>
    <w:rsid w:val="17CF09D2"/>
    <w:rsid w:val="17E175A0"/>
    <w:rsid w:val="17E54B40"/>
    <w:rsid w:val="17E9245F"/>
    <w:rsid w:val="17F20888"/>
    <w:rsid w:val="180A4B35"/>
    <w:rsid w:val="181319C1"/>
    <w:rsid w:val="1823404D"/>
    <w:rsid w:val="182860E3"/>
    <w:rsid w:val="182F0E90"/>
    <w:rsid w:val="18307747"/>
    <w:rsid w:val="18375672"/>
    <w:rsid w:val="18405657"/>
    <w:rsid w:val="184509E3"/>
    <w:rsid w:val="185A73E1"/>
    <w:rsid w:val="185D16C0"/>
    <w:rsid w:val="18670086"/>
    <w:rsid w:val="187C0DEA"/>
    <w:rsid w:val="187F2863"/>
    <w:rsid w:val="18863DF4"/>
    <w:rsid w:val="18917673"/>
    <w:rsid w:val="18940D9E"/>
    <w:rsid w:val="18996923"/>
    <w:rsid w:val="189F0D0E"/>
    <w:rsid w:val="18B83863"/>
    <w:rsid w:val="18BA710E"/>
    <w:rsid w:val="18BD27C2"/>
    <w:rsid w:val="18BE6B22"/>
    <w:rsid w:val="18C4037A"/>
    <w:rsid w:val="18C57A32"/>
    <w:rsid w:val="18C945B4"/>
    <w:rsid w:val="18DE58E4"/>
    <w:rsid w:val="18E177BC"/>
    <w:rsid w:val="18F94693"/>
    <w:rsid w:val="18FA15E8"/>
    <w:rsid w:val="19036BA9"/>
    <w:rsid w:val="19076E55"/>
    <w:rsid w:val="19081A4B"/>
    <w:rsid w:val="190C774C"/>
    <w:rsid w:val="190D0D5B"/>
    <w:rsid w:val="19172452"/>
    <w:rsid w:val="192D2656"/>
    <w:rsid w:val="192D58FE"/>
    <w:rsid w:val="192E4B53"/>
    <w:rsid w:val="192E5772"/>
    <w:rsid w:val="193832BA"/>
    <w:rsid w:val="193C2A53"/>
    <w:rsid w:val="19430300"/>
    <w:rsid w:val="19494363"/>
    <w:rsid w:val="195606FA"/>
    <w:rsid w:val="195F7C30"/>
    <w:rsid w:val="196569FB"/>
    <w:rsid w:val="19664364"/>
    <w:rsid w:val="196D3A23"/>
    <w:rsid w:val="196E5552"/>
    <w:rsid w:val="197440E1"/>
    <w:rsid w:val="198A4708"/>
    <w:rsid w:val="19920D4D"/>
    <w:rsid w:val="19BA7045"/>
    <w:rsid w:val="19CD7561"/>
    <w:rsid w:val="19CF110E"/>
    <w:rsid w:val="19E47E89"/>
    <w:rsid w:val="19EC4A9D"/>
    <w:rsid w:val="1A006080"/>
    <w:rsid w:val="1A252E71"/>
    <w:rsid w:val="1A294AA6"/>
    <w:rsid w:val="1A2A1474"/>
    <w:rsid w:val="1A2C356C"/>
    <w:rsid w:val="1A2D2604"/>
    <w:rsid w:val="1A302507"/>
    <w:rsid w:val="1A377C2A"/>
    <w:rsid w:val="1A3F729E"/>
    <w:rsid w:val="1A4152E0"/>
    <w:rsid w:val="1A474E13"/>
    <w:rsid w:val="1A6708A4"/>
    <w:rsid w:val="1A6C0F70"/>
    <w:rsid w:val="1A7D29A0"/>
    <w:rsid w:val="1AAB1186"/>
    <w:rsid w:val="1AB1315B"/>
    <w:rsid w:val="1ABA4C3C"/>
    <w:rsid w:val="1ABF0C02"/>
    <w:rsid w:val="1AC201E4"/>
    <w:rsid w:val="1AC41F04"/>
    <w:rsid w:val="1AD86198"/>
    <w:rsid w:val="1AE76091"/>
    <w:rsid w:val="1AE906A6"/>
    <w:rsid w:val="1AFC4695"/>
    <w:rsid w:val="1B1937E3"/>
    <w:rsid w:val="1B1B79A7"/>
    <w:rsid w:val="1B48580D"/>
    <w:rsid w:val="1B612A90"/>
    <w:rsid w:val="1B623DBB"/>
    <w:rsid w:val="1B6362E7"/>
    <w:rsid w:val="1B7B659A"/>
    <w:rsid w:val="1B861899"/>
    <w:rsid w:val="1B9133C8"/>
    <w:rsid w:val="1B956EEA"/>
    <w:rsid w:val="1B9976C5"/>
    <w:rsid w:val="1B9A41B4"/>
    <w:rsid w:val="1BC62D22"/>
    <w:rsid w:val="1BC96585"/>
    <w:rsid w:val="1BCB44A6"/>
    <w:rsid w:val="1BF51C3E"/>
    <w:rsid w:val="1C0F0059"/>
    <w:rsid w:val="1C2362A8"/>
    <w:rsid w:val="1C2E3F1B"/>
    <w:rsid w:val="1C387059"/>
    <w:rsid w:val="1C4325EA"/>
    <w:rsid w:val="1C47129D"/>
    <w:rsid w:val="1C4E3F7F"/>
    <w:rsid w:val="1C574CD2"/>
    <w:rsid w:val="1C5A73AA"/>
    <w:rsid w:val="1C7A6BC9"/>
    <w:rsid w:val="1C7C11E5"/>
    <w:rsid w:val="1C8E4CE1"/>
    <w:rsid w:val="1C992AF1"/>
    <w:rsid w:val="1CB60245"/>
    <w:rsid w:val="1CBE4789"/>
    <w:rsid w:val="1CC131AC"/>
    <w:rsid w:val="1CC1549A"/>
    <w:rsid w:val="1CCF0FDF"/>
    <w:rsid w:val="1CDB2766"/>
    <w:rsid w:val="1CDC4C18"/>
    <w:rsid w:val="1CE779EE"/>
    <w:rsid w:val="1CED1FE7"/>
    <w:rsid w:val="1CF10CC0"/>
    <w:rsid w:val="1CF22578"/>
    <w:rsid w:val="1CF7292C"/>
    <w:rsid w:val="1CFA7D5E"/>
    <w:rsid w:val="1CFF359F"/>
    <w:rsid w:val="1D040258"/>
    <w:rsid w:val="1D090FD2"/>
    <w:rsid w:val="1D1134EC"/>
    <w:rsid w:val="1D133BC8"/>
    <w:rsid w:val="1D153800"/>
    <w:rsid w:val="1D1E3E53"/>
    <w:rsid w:val="1D215F99"/>
    <w:rsid w:val="1D344C11"/>
    <w:rsid w:val="1D3B5E4C"/>
    <w:rsid w:val="1D455EC3"/>
    <w:rsid w:val="1D4F1661"/>
    <w:rsid w:val="1D554B87"/>
    <w:rsid w:val="1D5D03B0"/>
    <w:rsid w:val="1D5E27D2"/>
    <w:rsid w:val="1D6B06CF"/>
    <w:rsid w:val="1D7833A7"/>
    <w:rsid w:val="1D790CEA"/>
    <w:rsid w:val="1DA15142"/>
    <w:rsid w:val="1DA3564B"/>
    <w:rsid w:val="1DB41CE5"/>
    <w:rsid w:val="1DBA2CB3"/>
    <w:rsid w:val="1DC60DE9"/>
    <w:rsid w:val="1DD0634C"/>
    <w:rsid w:val="1DD31E90"/>
    <w:rsid w:val="1DDD4370"/>
    <w:rsid w:val="1DE26BE9"/>
    <w:rsid w:val="1DEE29D7"/>
    <w:rsid w:val="1DF54639"/>
    <w:rsid w:val="1E036FCE"/>
    <w:rsid w:val="1E065C13"/>
    <w:rsid w:val="1E154BF9"/>
    <w:rsid w:val="1E1A2348"/>
    <w:rsid w:val="1E1D6DEF"/>
    <w:rsid w:val="1E4569AA"/>
    <w:rsid w:val="1E4C6327"/>
    <w:rsid w:val="1E4E62D8"/>
    <w:rsid w:val="1E5E1934"/>
    <w:rsid w:val="1E6734A9"/>
    <w:rsid w:val="1E7B3D90"/>
    <w:rsid w:val="1E890F8D"/>
    <w:rsid w:val="1E8E0CA5"/>
    <w:rsid w:val="1E93764B"/>
    <w:rsid w:val="1E99462A"/>
    <w:rsid w:val="1EA03755"/>
    <w:rsid w:val="1EA74068"/>
    <w:rsid w:val="1EAB76AE"/>
    <w:rsid w:val="1EAE2868"/>
    <w:rsid w:val="1EC048C3"/>
    <w:rsid w:val="1EC7640D"/>
    <w:rsid w:val="1ECA4C3A"/>
    <w:rsid w:val="1ECC5C91"/>
    <w:rsid w:val="1ED26278"/>
    <w:rsid w:val="1ED81237"/>
    <w:rsid w:val="1ED90CD1"/>
    <w:rsid w:val="1EE46BA6"/>
    <w:rsid w:val="1EF94A6D"/>
    <w:rsid w:val="1F017AEB"/>
    <w:rsid w:val="1F0A017C"/>
    <w:rsid w:val="1F0D44D4"/>
    <w:rsid w:val="1F240D31"/>
    <w:rsid w:val="1F2B1BF3"/>
    <w:rsid w:val="1F2C23A5"/>
    <w:rsid w:val="1F31003B"/>
    <w:rsid w:val="1F332CA6"/>
    <w:rsid w:val="1F5008F0"/>
    <w:rsid w:val="1F5A49CB"/>
    <w:rsid w:val="1F611711"/>
    <w:rsid w:val="1F686DF4"/>
    <w:rsid w:val="1F700831"/>
    <w:rsid w:val="1F733E57"/>
    <w:rsid w:val="1F7FA98A"/>
    <w:rsid w:val="1F825887"/>
    <w:rsid w:val="1F8651D7"/>
    <w:rsid w:val="1F8A13C5"/>
    <w:rsid w:val="1F91219C"/>
    <w:rsid w:val="1FA7646C"/>
    <w:rsid w:val="1FB17C4B"/>
    <w:rsid w:val="1FB26264"/>
    <w:rsid w:val="1FB43EFA"/>
    <w:rsid w:val="1FB50509"/>
    <w:rsid w:val="1FC23110"/>
    <w:rsid w:val="1FC42E2D"/>
    <w:rsid w:val="1FC52E36"/>
    <w:rsid w:val="1FC733AF"/>
    <w:rsid w:val="1FCC04CC"/>
    <w:rsid w:val="1FD455CC"/>
    <w:rsid w:val="1FDC04D4"/>
    <w:rsid w:val="1FE64878"/>
    <w:rsid w:val="1FE9407A"/>
    <w:rsid w:val="1FF35315"/>
    <w:rsid w:val="1FFC63A4"/>
    <w:rsid w:val="1FFE2AEB"/>
    <w:rsid w:val="1FFE2D39"/>
    <w:rsid w:val="200733B8"/>
    <w:rsid w:val="2009009E"/>
    <w:rsid w:val="20146806"/>
    <w:rsid w:val="201661E3"/>
    <w:rsid w:val="201B04D3"/>
    <w:rsid w:val="201B3E4C"/>
    <w:rsid w:val="20290D75"/>
    <w:rsid w:val="202D0620"/>
    <w:rsid w:val="202D6F97"/>
    <w:rsid w:val="203647FC"/>
    <w:rsid w:val="20373218"/>
    <w:rsid w:val="203778E9"/>
    <w:rsid w:val="203B40D3"/>
    <w:rsid w:val="20402A61"/>
    <w:rsid w:val="20471238"/>
    <w:rsid w:val="2049014A"/>
    <w:rsid w:val="2060181A"/>
    <w:rsid w:val="20654FEE"/>
    <w:rsid w:val="206D762C"/>
    <w:rsid w:val="20816A63"/>
    <w:rsid w:val="208F37FB"/>
    <w:rsid w:val="20967902"/>
    <w:rsid w:val="20A35555"/>
    <w:rsid w:val="20A576A3"/>
    <w:rsid w:val="20B90CF9"/>
    <w:rsid w:val="20CF4C51"/>
    <w:rsid w:val="20FD296C"/>
    <w:rsid w:val="20FE18B0"/>
    <w:rsid w:val="210727E0"/>
    <w:rsid w:val="212121EF"/>
    <w:rsid w:val="213767C6"/>
    <w:rsid w:val="213803E6"/>
    <w:rsid w:val="2139718C"/>
    <w:rsid w:val="21485825"/>
    <w:rsid w:val="214E5B30"/>
    <w:rsid w:val="21510699"/>
    <w:rsid w:val="2178097E"/>
    <w:rsid w:val="217B0CA4"/>
    <w:rsid w:val="21820E17"/>
    <w:rsid w:val="218242A5"/>
    <w:rsid w:val="21926AF9"/>
    <w:rsid w:val="219C4C32"/>
    <w:rsid w:val="21A02F6A"/>
    <w:rsid w:val="21C65A76"/>
    <w:rsid w:val="21DC5F09"/>
    <w:rsid w:val="21DE311D"/>
    <w:rsid w:val="21E5308A"/>
    <w:rsid w:val="21E7129C"/>
    <w:rsid w:val="21EF0988"/>
    <w:rsid w:val="21F02018"/>
    <w:rsid w:val="221060EF"/>
    <w:rsid w:val="22116986"/>
    <w:rsid w:val="22207409"/>
    <w:rsid w:val="22235918"/>
    <w:rsid w:val="22344991"/>
    <w:rsid w:val="223E5BEA"/>
    <w:rsid w:val="224007FD"/>
    <w:rsid w:val="22564E29"/>
    <w:rsid w:val="22592F8D"/>
    <w:rsid w:val="225C1870"/>
    <w:rsid w:val="227A681E"/>
    <w:rsid w:val="229421BE"/>
    <w:rsid w:val="229F331E"/>
    <w:rsid w:val="22AB4DEF"/>
    <w:rsid w:val="22AE6C61"/>
    <w:rsid w:val="22BE6C3D"/>
    <w:rsid w:val="22C252A7"/>
    <w:rsid w:val="22C92AFA"/>
    <w:rsid w:val="22D308C1"/>
    <w:rsid w:val="22D55C33"/>
    <w:rsid w:val="22EB7249"/>
    <w:rsid w:val="22EE65C8"/>
    <w:rsid w:val="22F04290"/>
    <w:rsid w:val="22F2371A"/>
    <w:rsid w:val="22F36CE7"/>
    <w:rsid w:val="22F52486"/>
    <w:rsid w:val="22F5322F"/>
    <w:rsid w:val="22F66168"/>
    <w:rsid w:val="22F83344"/>
    <w:rsid w:val="23046782"/>
    <w:rsid w:val="231A6133"/>
    <w:rsid w:val="23203471"/>
    <w:rsid w:val="23325FCD"/>
    <w:rsid w:val="233631B9"/>
    <w:rsid w:val="23440F58"/>
    <w:rsid w:val="2347743F"/>
    <w:rsid w:val="234B7834"/>
    <w:rsid w:val="23527A75"/>
    <w:rsid w:val="23574E22"/>
    <w:rsid w:val="2368268D"/>
    <w:rsid w:val="237262EE"/>
    <w:rsid w:val="23762C8C"/>
    <w:rsid w:val="23782449"/>
    <w:rsid w:val="23792EBE"/>
    <w:rsid w:val="237B1C23"/>
    <w:rsid w:val="23816800"/>
    <w:rsid w:val="23A21379"/>
    <w:rsid w:val="23A40A24"/>
    <w:rsid w:val="23AA6648"/>
    <w:rsid w:val="23AB565B"/>
    <w:rsid w:val="23AC14BA"/>
    <w:rsid w:val="23B10DE0"/>
    <w:rsid w:val="23B532A2"/>
    <w:rsid w:val="23B61FE8"/>
    <w:rsid w:val="23C81D43"/>
    <w:rsid w:val="23D5368E"/>
    <w:rsid w:val="23D65030"/>
    <w:rsid w:val="23D758F4"/>
    <w:rsid w:val="23D91D21"/>
    <w:rsid w:val="23DD5720"/>
    <w:rsid w:val="23EA5297"/>
    <w:rsid w:val="23EF56F1"/>
    <w:rsid w:val="240308A3"/>
    <w:rsid w:val="240864B0"/>
    <w:rsid w:val="240A311F"/>
    <w:rsid w:val="2412611A"/>
    <w:rsid w:val="24155059"/>
    <w:rsid w:val="241A255A"/>
    <w:rsid w:val="241C75F2"/>
    <w:rsid w:val="241D53C2"/>
    <w:rsid w:val="241E21DD"/>
    <w:rsid w:val="24240DD8"/>
    <w:rsid w:val="2424564E"/>
    <w:rsid w:val="24283062"/>
    <w:rsid w:val="2429029C"/>
    <w:rsid w:val="242A3024"/>
    <w:rsid w:val="2435307B"/>
    <w:rsid w:val="24466541"/>
    <w:rsid w:val="2453116F"/>
    <w:rsid w:val="24582E25"/>
    <w:rsid w:val="24596F3D"/>
    <w:rsid w:val="245E7CB8"/>
    <w:rsid w:val="24691C87"/>
    <w:rsid w:val="246E4971"/>
    <w:rsid w:val="247C4419"/>
    <w:rsid w:val="248105FF"/>
    <w:rsid w:val="249466E1"/>
    <w:rsid w:val="249B6F37"/>
    <w:rsid w:val="24A57C78"/>
    <w:rsid w:val="24AE0D3C"/>
    <w:rsid w:val="24B5313D"/>
    <w:rsid w:val="24BE4EFD"/>
    <w:rsid w:val="24C21BBB"/>
    <w:rsid w:val="24C820E3"/>
    <w:rsid w:val="24D334AD"/>
    <w:rsid w:val="24D3508F"/>
    <w:rsid w:val="24D977A8"/>
    <w:rsid w:val="24E22490"/>
    <w:rsid w:val="24E5367B"/>
    <w:rsid w:val="24F63647"/>
    <w:rsid w:val="24F650E2"/>
    <w:rsid w:val="24FB450C"/>
    <w:rsid w:val="24FC6EE5"/>
    <w:rsid w:val="24FD24B4"/>
    <w:rsid w:val="24FF6B68"/>
    <w:rsid w:val="250F6EEB"/>
    <w:rsid w:val="25144D56"/>
    <w:rsid w:val="252D6390"/>
    <w:rsid w:val="253D113C"/>
    <w:rsid w:val="25416E10"/>
    <w:rsid w:val="25492F42"/>
    <w:rsid w:val="2550280F"/>
    <w:rsid w:val="255C3837"/>
    <w:rsid w:val="256002A5"/>
    <w:rsid w:val="25606CFF"/>
    <w:rsid w:val="25614063"/>
    <w:rsid w:val="256376A5"/>
    <w:rsid w:val="25641764"/>
    <w:rsid w:val="25643C6C"/>
    <w:rsid w:val="256B4217"/>
    <w:rsid w:val="25762D04"/>
    <w:rsid w:val="257E787A"/>
    <w:rsid w:val="25850423"/>
    <w:rsid w:val="258E6D46"/>
    <w:rsid w:val="2597065A"/>
    <w:rsid w:val="259A4FE0"/>
    <w:rsid w:val="25A53853"/>
    <w:rsid w:val="25B23C5D"/>
    <w:rsid w:val="25B62BF1"/>
    <w:rsid w:val="25C23BBA"/>
    <w:rsid w:val="25C348CE"/>
    <w:rsid w:val="25CB7274"/>
    <w:rsid w:val="25D7368A"/>
    <w:rsid w:val="25D94FA6"/>
    <w:rsid w:val="25E83B47"/>
    <w:rsid w:val="25ED7C7B"/>
    <w:rsid w:val="25FE1963"/>
    <w:rsid w:val="2617030E"/>
    <w:rsid w:val="261B204E"/>
    <w:rsid w:val="26333A4E"/>
    <w:rsid w:val="26435DB4"/>
    <w:rsid w:val="26590D78"/>
    <w:rsid w:val="26615315"/>
    <w:rsid w:val="26663E84"/>
    <w:rsid w:val="267859C4"/>
    <w:rsid w:val="26895B15"/>
    <w:rsid w:val="26916D07"/>
    <w:rsid w:val="26922151"/>
    <w:rsid w:val="2695315B"/>
    <w:rsid w:val="26981CA4"/>
    <w:rsid w:val="269E6B26"/>
    <w:rsid w:val="26A16452"/>
    <w:rsid w:val="26B64FCD"/>
    <w:rsid w:val="26B87DAD"/>
    <w:rsid w:val="26C86E2D"/>
    <w:rsid w:val="26D519C6"/>
    <w:rsid w:val="26E25459"/>
    <w:rsid w:val="26E541E7"/>
    <w:rsid w:val="26E624B9"/>
    <w:rsid w:val="26FC0350"/>
    <w:rsid w:val="26FE3B9A"/>
    <w:rsid w:val="26FF5BE7"/>
    <w:rsid w:val="270F77E4"/>
    <w:rsid w:val="27160E77"/>
    <w:rsid w:val="271763E5"/>
    <w:rsid w:val="271D1792"/>
    <w:rsid w:val="272535E6"/>
    <w:rsid w:val="2728071A"/>
    <w:rsid w:val="27302C1C"/>
    <w:rsid w:val="27345B98"/>
    <w:rsid w:val="274307FB"/>
    <w:rsid w:val="274E0292"/>
    <w:rsid w:val="27516C6F"/>
    <w:rsid w:val="27562706"/>
    <w:rsid w:val="27627383"/>
    <w:rsid w:val="277E6196"/>
    <w:rsid w:val="27A26508"/>
    <w:rsid w:val="27A71EA8"/>
    <w:rsid w:val="27C06A88"/>
    <w:rsid w:val="27D5405B"/>
    <w:rsid w:val="27DF5544"/>
    <w:rsid w:val="280520B8"/>
    <w:rsid w:val="280A1EA5"/>
    <w:rsid w:val="280E0EB1"/>
    <w:rsid w:val="282012C0"/>
    <w:rsid w:val="28266624"/>
    <w:rsid w:val="2836779D"/>
    <w:rsid w:val="283B0F0D"/>
    <w:rsid w:val="2845221C"/>
    <w:rsid w:val="28491173"/>
    <w:rsid w:val="28505D92"/>
    <w:rsid w:val="28552ABF"/>
    <w:rsid w:val="285E1C95"/>
    <w:rsid w:val="28741198"/>
    <w:rsid w:val="28761676"/>
    <w:rsid w:val="28852500"/>
    <w:rsid w:val="288A2311"/>
    <w:rsid w:val="28940FA3"/>
    <w:rsid w:val="28974012"/>
    <w:rsid w:val="289C1416"/>
    <w:rsid w:val="28A044B5"/>
    <w:rsid w:val="28B1694E"/>
    <w:rsid w:val="28BB1F86"/>
    <w:rsid w:val="28C4604E"/>
    <w:rsid w:val="28D22D3A"/>
    <w:rsid w:val="28D82E3E"/>
    <w:rsid w:val="28D93EE5"/>
    <w:rsid w:val="28DE6843"/>
    <w:rsid w:val="28DF3BAE"/>
    <w:rsid w:val="28E622DE"/>
    <w:rsid w:val="28EA7902"/>
    <w:rsid w:val="28EE092C"/>
    <w:rsid w:val="28FB15C2"/>
    <w:rsid w:val="28FC1880"/>
    <w:rsid w:val="2908671D"/>
    <w:rsid w:val="29126FF8"/>
    <w:rsid w:val="291948CF"/>
    <w:rsid w:val="29365FA1"/>
    <w:rsid w:val="293B5548"/>
    <w:rsid w:val="293C3A97"/>
    <w:rsid w:val="295E299A"/>
    <w:rsid w:val="29675FF7"/>
    <w:rsid w:val="29682EDF"/>
    <w:rsid w:val="296B5579"/>
    <w:rsid w:val="296C1CDA"/>
    <w:rsid w:val="29745B98"/>
    <w:rsid w:val="297B0E08"/>
    <w:rsid w:val="297C7B0D"/>
    <w:rsid w:val="297E31A8"/>
    <w:rsid w:val="2988251A"/>
    <w:rsid w:val="298E747C"/>
    <w:rsid w:val="298E79F7"/>
    <w:rsid w:val="299343CE"/>
    <w:rsid w:val="299E68C3"/>
    <w:rsid w:val="29A70521"/>
    <w:rsid w:val="29AA6F0A"/>
    <w:rsid w:val="29AE50CA"/>
    <w:rsid w:val="29BD1AEA"/>
    <w:rsid w:val="29C35511"/>
    <w:rsid w:val="29C76E0D"/>
    <w:rsid w:val="29CB61A1"/>
    <w:rsid w:val="29CF5123"/>
    <w:rsid w:val="29D46006"/>
    <w:rsid w:val="29EB065A"/>
    <w:rsid w:val="29FB4DC3"/>
    <w:rsid w:val="29FD5DE5"/>
    <w:rsid w:val="2A0271E9"/>
    <w:rsid w:val="2A0E442A"/>
    <w:rsid w:val="2A105C27"/>
    <w:rsid w:val="2A151A98"/>
    <w:rsid w:val="2A177DCB"/>
    <w:rsid w:val="2A2B30D5"/>
    <w:rsid w:val="2A2D77B2"/>
    <w:rsid w:val="2A2E723B"/>
    <w:rsid w:val="2A4A2FE8"/>
    <w:rsid w:val="2A4C71FD"/>
    <w:rsid w:val="2A4E25D2"/>
    <w:rsid w:val="2A527FEC"/>
    <w:rsid w:val="2A5E556C"/>
    <w:rsid w:val="2A6B4E4E"/>
    <w:rsid w:val="2A741313"/>
    <w:rsid w:val="2A762DB6"/>
    <w:rsid w:val="2A8A65D9"/>
    <w:rsid w:val="2A9845F0"/>
    <w:rsid w:val="2AA15E6C"/>
    <w:rsid w:val="2AA57411"/>
    <w:rsid w:val="2AB84985"/>
    <w:rsid w:val="2AB91DEE"/>
    <w:rsid w:val="2AC14E24"/>
    <w:rsid w:val="2AC522A9"/>
    <w:rsid w:val="2AC63E3A"/>
    <w:rsid w:val="2ACA7121"/>
    <w:rsid w:val="2ACD3983"/>
    <w:rsid w:val="2AD63B63"/>
    <w:rsid w:val="2AE656EB"/>
    <w:rsid w:val="2AF20181"/>
    <w:rsid w:val="2AF966CA"/>
    <w:rsid w:val="2B0471A2"/>
    <w:rsid w:val="2B147D35"/>
    <w:rsid w:val="2B3814E9"/>
    <w:rsid w:val="2B3D4E30"/>
    <w:rsid w:val="2B402956"/>
    <w:rsid w:val="2B485E04"/>
    <w:rsid w:val="2B4C5398"/>
    <w:rsid w:val="2B5249DF"/>
    <w:rsid w:val="2B590EBA"/>
    <w:rsid w:val="2B655143"/>
    <w:rsid w:val="2B712C31"/>
    <w:rsid w:val="2B7703DB"/>
    <w:rsid w:val="2B8D2638"/>
    <w:rsid w:val="2B9569B0"/>
    <w:rsid w:val="2B9B4C3D"/>
    <w:rsid w:val="2BABEC14"/>
    <w:rsid w:val="2BAC3692"/>
    <w:rsid w:val="2BB2724E"/>
    <w:rsid w:val="2BB53AA1"/>
    <w:rsid w:val="2BC737FD"/>
    <w:rsid w:val="2BCA03B4"/>
    <w:rsid w:val="2BCD345C"/>
    <w:rsid w:val="2BD11E41"/>
    <w:rsid w:val="2BDE5A22"/>
    <w:rsid w:val="2BE96D7A"/>
    <w:rsid w:val="2BF643B6"/>
    <w:rsid w:val="2BF76E93"/>
    <w:rsid w:val="2C02455B"/>
    <w:rsid w:val="2C027EC3"/>
    <w:rsid w:val="2C0B557C"/>
    <w:rsid w:val="2C0D03AC"/>
    <w:rsid w:val="2C125B9F"/>
    <w:rsid w:val="2C146CDD"/>
    <w:rsid w:val="2C172E9C"/>
    <w:rsid w:val="2C1D7C6F"/>
    <w:rsid w:val="2C220978"/>
    <w:rsid w:val="2C2A2654"/>
    <w:rsid w:val="2C2F2B49"/>
    <w:rsid w:val="2C317228"/>
    <w:rsid w:val="2C427A7F"/>
    <w:rsid w:val="2C69104A"/>
    <w:rsid w:val="2C6E6EA0"/>
    <w:rsid w:val="2C717DBC"/>
    <w:rsid w:val="2C725474"/>
    <w:rsid w:val="2C761E25"/>
    <w:rsid w:val="2C7C7C88"/>
    <w:rsid w:val="2C7D570A"/>
    <w:rsid w:val="2C801CFA"/>
    <w:rsid w:val="2C81624D"/>
    <w:rsid w:val="2C842041"/>
    <w:rsid w:val="2CA0329E"/>
    <w:rsid w:val="2CA25CAE"/>
    <w:rsid w:val="2CA6175D"/>
    <w:rsid w:val="2CB14E40"/>
    <w:rsid w:val="2CBD55E3"/>
    <w:rsid w:val="2CD317B6"/>
    <w:rsid w:val="2CD90022"/>
    <w:rsid w:val="2CDE070D"/>
    <w:rsid w:val="2CEC1CCA"/>
    <w:rsid w:val="2D090B71"/>
    <w:rsid w:val="2D0A1B8D"/>
    <w:rsid w:val="2D11479A"/>
    <w:rsid w:val="2D280940"/>
    <w:rsid w:val="2D312AA8"/>
    <w:rsid w:val="2D327396"/>
    <w:rsid w:val="2D346567"/>
    <w:rsid w:val="2D347437"/>
    <w:rsid w:val="2D3E16EE"/>
    <w:rsid w:val="2D4C07A4"/>
    <w:rsid w:val="2D5059A6"/>
    <w:rsid w:val="2D52792D"/>
    <w:rsid w:val="2D741382"/>
    <w:rsid w:val="2D787C68"/>
    <w:rsid w:val="2D797517"/>
    <w:rsid w:val="2D7C6E5F"/>
    <w:rsid w:val="2D7D1F23"/>
    <w:rsid w:val="2D837289"/>
    <w:rsid w:val="2D8B74D3"/>
    <w:rsid w:val="2D8F17A1"/>
    <w:rsid w:val="2D990DB2"/>
    <w:rsid w:val="2D9B3372"/>
    <w:rsid w:val="2D9C7FFE"/>
    <w:rsid w:val="2D9E38B3"/>
    <w:rsid w:val="2DA11FE9"/>
    <w:rsid w:val="2DA76930"/>
    <w:rsid w:val="2DB23579"/>
    <w:rsid w:val="2DB604DD"/>
    <w:rsid w:val="2DBE3D09"/>
    <w:rsid w:val="2DC0289E"/>
    <w:rsid w:val="2DC25DCC"/>
    <w:rsid w:val="2DD62137"/>
    <w:rsid w:val="2DDB2F86"/>
    <w:rsid w:val="2DDB5965"/>
    <w:rsid w:val="2DF05973"/>
    <w:rsid w:val="2E00544A"/>
    <w:rsid w:val="2E012F21"/>
    <w:rsid w:val="2E076E9C"/>
    <w:rsid w:val="2E151FA8"/>
    <w:rsid w:val="2E3C328E"/>
    <w:rsid w:val="2E3D6D1A"/>
    <w:rsid w:val="2E402DEC"/>
    <w:rsid w:val="2E463F1D"/>
    <w:rsid w:val="2E4E7979"/>
    <w:rsid w:val="2E5A2E46"/>
    <w:rsid w:val="2E5E399D"/>
    <w:rsid w:val="2E6433DE"/>
    <w:rsid w:val="2E701728"/>
    <w:rsid w:val="2E767F7E"/>
    <w:rsid w:val="2E782DED"/>
    <w:rsid w:val="2E7A22FD"/>
    <w:rsid w:val="2E861E29"/>
    <w:rsid w:val="2E906C47"/>
    <w:rsid w:val="2EA339A5"/>
    <w:rsid w:val="2EB62EB9"/>
    <w:rsid w:val="2EC06B76"/>
    <w:rsid w:val="2ECE0425"/>
    <w:rsid w:val="2ED841FE"/>
    <w:rsid w:val="2EDF6F52"/>
    <w:rsid w:val="2EE00E8E"/>
    <w:rsid w:val="2EEB0A78"/>
    <w:rsid w:val="2EEB7FAF"/>
    <w:rsid w:val="2EEE1C8B"/>
    <w:rsid w:val="2EF01A04"/>
    <w:rsid w:val="2EFC51FA"/>
    <w:rsid w:val="2F123765"/>
    <w:rsid w:val="2F1D01EE"/>
    <w:rsid w:val="2F302F3F"/>
    <w:rsid w:val="2F303CBF"/>
    <w:rsid w:val="2F3B0B88"/>
    <w:rsid w:val="2F5114E8"/>
    <w:rsid w:val="2F525233"/>
    <w:rsid w:val="2F687CD6"/>
    <w:rsid w:val="2F6D49C1"/>
    <w:rsid w:val="2F756F0F"/>
    <w:rsid w:val="2F77416E"/>
    <w:rsid w:val="2F79CEBE"/>
    <w:rsid w:val="2F806629"/>
    <w:rsid w:val="2F8F1814"/>
    <w:rsid w:val="2F8F3117"/>
    <w:rsid w:val="2F940B9B"/>
    <w:rsid w:val="2FA37425"/>
    <w:rsid w:val="2FB76FDC"/>
    <w:rsid w:val="2FBA3B51"/>
    <w:rsid w:val="2FBC7EBB"/>
    <w:rsid w:val="2FD70C5F"/>
    <w:rsid w:val="2FE42BDF"/>
    <w:rsid w:val="2FE6542D"/>
    <w:rsid w:val="2FE85726"/>
    <w:rsid w:val="2FF0569B"/>
    <w:rsid w:val="2FFE1DA7"/>
    <w:rsid w:val="300530A0"/>
    <w:rsid w:val="30196B10"/>
    <w:rsid w:val="30205738"/>
    <w:rsid w:val="30637597"/>
    <w:rsid w:val="306B1D7C"/>
    <w:rsid w:val="306F63F7"/>
    <w:rsid w:val="3073794F"/>
    <w:rsid w:val="308A6F0F"/>
    <w:rsid w:val="308E655F"/>
    <w:rsid w:val="30903846"/>
    <w:rsid w:val="30935F12"/>
    <w:rsid w:val="309C34C5"/>
    <w:rsid w:val="30A30058"/>
    <w:rsid w:val="30A56A43"/>
    <w:rsid w:val="30A942DE"/>
    <w:rsid w:val="30C62B96"/>
    <w:rsid w:val="30C70618"/>
    <w:rsid w:val="30D140CD"/>
    <w:rsid w:val="30D228C7"/>
    <w:rsid w:val="30D629EF"/>
    <w:rsid w:val="30DB4216"/>
    <w:rsid w:val="30E725E9"/>
    <w:rsid w:val="30F4495F"/>
    <w:rsid w:val="30FF48C3"/>
    <w:rsid w:val="310B50C9"/>
    <w:rsid w:val="31112DB6"/>
    <w:rsid w:val="31155BC2"/>
    <w:rsid w:val="311E78A1"/>
    <w:rsid w:val="31263AD6"/>
    <w:rsid w:val="312A4649"/>
    <w:rsid w:val="312B3ECD"/>
    <w:rsid w:val="313004FE"/>
    <w:rsid w:val="31400B88"/>
    <w:rsid w:val="314011DB"/>
    <w:rsid w:val="314E1A64"/>
    <w:rsid w:val="315F400E"/>
    <w:rsid w:val="315F58B2"/>
    <w:rsid w:val="316250E0"/>
    <w:rsid w:val="31697918"/>
    <w:rsid w:val="316E72CA"/>
    <w:rsid w:val="31733465"/>
    <w:rsid w:val="31790544"/>
    <w:rsid w:val="31926D8A"/>
    <w:rsid w:val="31A10BBF"/>
    <w:rsid w:val="31B551CF"/>
    <w:rsid w:val="31BA63AD"/>
    <w:rsid w:val="31BB70D6"/>
    <w:rsid w:val="31C40A54"/>
    <w:rsid w:val="31C95FF1"/>
    <w:rsid w:val="31CC7C96"/>
    <w:rsid w:val="31D121FC"/>
    <w:rsid w:val="31D5016F"/>
    <w:rsid w:val="31E6099A"/>
    <w:rsid w:val="31EA2E41"/>
    <w:rsid w:val="31EC406F"/>
    <w:rsid w:val="31FC2401"/>
    <w:rsid w:val="3206536B"/>
    <w:rsid w:val="320B4840"/>
    <w:rsid w:val="32262FF7"/>
    <w:rsid w:val="32265FD5"/>
    <w:rsid w:val="322F2619"/>
    <w:rsid w:val="32373CF1"/>
    <w:rsid w:val="323C0179"/>
    <w:rsid w:val="32484DBF"/>
    <w:rsid w:val="3257078F"/>
    <w:rsid w:val="326710D4"/>
    <w:rsid w:val="326748DA"/>
    <w:rsid w:val="32693564"/>
    <w:rsid w:val="3288061A"/>
    <w:rsid w:val="329E3BC4"/>
    <w:rsid w:val="32BB10E4"/>
    <w:rsid w:val="32C5454E"/>
    <w:rsid w:val="32DB26AD"/>
    <w:rsid w:val="32DC6DD3"/>
    <w:rsid w:val="32E14AC7"/>
    <w:rsid w:val="32E21699"/>
    <w:rsid w:val="32E411ED"/>
    <w:rsid w:val="33096C22"/>
    <w:rsid w:val="331A1982"/>
    <w:rsid w:val="332158DC"/>
    <w:rsid w:val="332E3179"/>
    <w:rsid w:val="33405BB7"/>
    <w:rsid w:val="334B7EA0"/>
    <w:rsid w:val="334C46CB"/>
    <w:rsid w:val="334F0F5E"/>
    <w:rsid w:val="33557C28"/>
    <w:rsid w:val="33600D0F"/>
    <w:rsid w:val="337720A2"/>
    <w:rsid w:val="337A3D09"/>
    <w:rsid w:val="337A40D1"/>
    <w:rsid w:val="337C0A0F"/>
    <w:rsid w:val="338874CA"/>
    <w:rsid w:val="33953F9C"/>
    <w:rsid w:val="33A742E1"/>
    <w:rsid w:val="33A84955"/>
    <w:rsid w:val="33BD3E12"/>
    <w:rsid w:val="33D12FD2"/>
    <w:rsid w:val="33D56C16"/>
    <w:rsid w:val="33DA45E3"/>
    <w:rsid w:val="33E51F84"/>
    <w:rsid w:val="33FC48D7"/>
    <w:rsid w:val="340279D7"/>
    <w:rsid w:val="340A74A4"/>
    <w:rsid w:val="3424680A"/>
    <w:rsid w:val="34283712"/>
    <w:rsid w:val="34296F6F"/>
    <w:rsid w:val="34351EFC"/>
    <w:rsid w:val="34390240"/>
    <w:rsid w:val="343B20A0"/>
    <w:rsid w:val="343F416B"/>
    <w:rsid w:val="344204A3"/>
    <w:rsid w:val="344603D3"/>
    <w:rsid w:val="34496EC7"/>
    <w:rsid w:val="344B465E"/>
    <w:rsid w:val="345C457C"/>
    <w:rsid w:val="346840B9"/>
    <w:rsid w:val="346F79A4"/>
    <w:rsid w:val="3474049E"/>
    <w:rsid w:val="3476679F"/>
    <w:rsid w:val="34774060"/>
    <w:rsid w:val="34785297"/>
    <w:rsid w:val="34A6153F"/>
    <w:rsid w:val="34BE4995"/>
    <w:rsid w:val="34C034D6"/>
    <w:rsid w:val="34C151EF"/>
    <w:rsid w:val="34C36CBC"/>
    <w:rsid w:val="34C67823"/>
    <w:rsid w:val="34CD5132"/>
    <w:rsid w:val="34CF6669"/>
    <w:rsid w:val="34F15270"/>
    <w:rsid w:val="34F60372"/>
    <w:rsid w:val="34FA2A04"/>
    <w:rsid w:val="35074561"/>
    <w:rsid w:val="351C3430"/>
    <w:rsid w:val="35202426"/>
    <w:rsid w:val="35235778"/>
    <w:rsid w:val="35380BBF"/>
    <w:rsid w:val="3539406E"/>
    <w:rsid w:val="3543266F"/>
    <w:rsid w:val="355A2295"/>
    <w:rsid w:val="355E3D22"/>
    <w:rsid w:val="356B6D96"/>
    <w:rsid w:val="35706240"/>
    <w:rsid w:val="3585599D"/>
    <w:rsid w:val="358F726C"/>
    <w:rsid w:val="359F3A49"/>
    <w:rsid w:val="35A160DC"/>
    <w:rsid w:val="35A94C06"/>
    <w:rsid w:val="35BE67F0"/>
    <w:rsid w:val="35BF4036"/>
    <w:rsid w:val="35C90E69"/>
    <w:rsid w:val="35C94AEF"/>
    <w:rsid w:val="35CF29CE"/>
    <w:rsid w:val="35E65FA8"/>
    <w:rsid w:val="35E756BB"/>
    <w:rsid w:val="35F96946"/>
    <w:rsid w:val="36015B90"/>
    <w:rsid w:val="36065CF1"/>
    <w:rsid w:val="360D1466"/>
    <w:rsid w:val="360F79C2"/>
    <w:rsid w:val="36112315"/>
    <w:rsid w:val="361A6D80"/>
    <w:rsid w:val="361D1BDF"/>
    <w:rsid w:val="361D2B8E"/>
    <w:rsid w:val="361E72EC"/>
    <w:rsid w:val="36341673"/>
    <w:rsid w:val="363671C6"/>
    <w:rsid w:val="363A3CFD"/>
    <w:rsid w:val="364B4321"/>
    <w:rsid w:val="364F5A2A"/>
    <w:rsid w:val="36577316"/>
    <w:rsid w:val="365C1F55"/>
    <w:rsid w:val="36794B25"/>
    <w:rsid w:val="367D49BD"/>
    <w:rsid w:val="36951DC3"/>
    <w:rsid w:val="3698377B"/>
    <w:rsid w:val="369B7C56"/>
    <w:rsid w:val="36A66829"/>
    <w:rsid w:val="36C06A93"/>
    <w:rsid w:val="36CC252F"/>
    <w:rsid w:val="36D66CC6"/>
    <w:rsid w:val="36DA62AB"/>
    <w:rsid w:val="36DB2974"/>
    <w:rsid w:val="36E12F6C"/>
    <w:rsid w:val="36F05C85"/>
    <w:rsid w:val="36FA6965"/>
    <w:rsid w:val="36FF1724"/>
    <w:rsid w:val="370902B7"/>
    <w:rsid w:val="370B7B53"/>
    <w:rsid w:val="37143AAA"/>
    <w:rsid w:val="37156B55"/>
    <w:rsid w:val="37172642"/>
    <w:rsid w:val="371D035E"/>
    <w:rsid w:val="371E292D"/>
    <w:rsid w:val="371F1DE0"/>
    <w:rsid w:val="372F639B"/>
    <w:rsid w:val="37422135"/>
    <w:rsid w:val="374809F5"/>
    <w:rsid w:val="37483B29"/>
    <w:rsid w:val="374D3D49"/>
    <w:rsid w:val="37516362"/>
    <w:rsid w:val="37570D7E"/>
    <w:rsid w:val="37640BE7"/>
    <w:rsid w:val="37656127"/>
    <w:rsid w:val="37676D1F"/>
    <w:rsid w:val="37693DB8"/>
    <w:rsid w:val="376C3559"/>
    <w:rsid w:val="377452B8"/>
    <w:rsid w:val="378004A4"/>
    <w:rsid w:val="37880EE4"/>
    <w:rsid w:val="37894E57"/>
    <w:rsid w:val="378A5DAD"/>
    <w:rsid w:val="37984652"/>
    <w:rsid w:val="37A956A6"/>
    <w:rsid w:val="37AC1DC8"/>
    <w:rsid w:val="37B449F3"/>
    <w:rsid w:val="37D1752B"/>
    <w:rsid w:val="37D43348"/>
    <w:rsid w:val="37DB6352"/>
    <w:rsid w:val="37E33B7D"/>
    <w:rsid w:val="37E50A71"/>
    <w:rsid w:val="37ED6D06"/>
    <w:rsid w:val="37FA6D0B"/>
    <w:rsid w:val="37FE3FAF"/>
    <w:rsid w:val="380534F8"/>
    <w:rsid w:val="3807701A"/>
    <w:rsid w:val="380C5081"/>
    <w:rsid w:val="3816174E"/>
    <w:rsid w:val="384564E0"/>
    <w:rsid w:val="38594A45"/>
    <w:rsid w:val="385A1EFA"/>
    <w:rsid w:val="385E543D"/>
    <w:rsid w:val="38662C6D"/>
    <w:rsid w:val="38743FB4"/>
    <w:rsid w:val="3875587C"/>
    <w:rsid w:val="38903694"/>
    <w:rsid w:val="389D0587"/>
    <w:rsid w:val="389F7E73"/>
    <w:rsid w:val="38A30A78"/>
    <w:rsid w:val="38A36ACC"/>
    <w:rsid w:val="38BB0554"/>
    <w:rsid w:val="38CE0621"/>
    <w:rsid w:val="38D84D95"/>
    <w:rsid w:val="38DD2BC2"/>
    <w:rsid w:val="38E066C5"/>
    <w:rsid w:val="38E85CE9"/>
    <w:rsid w:val="38F31481"/>
    <w:rsid w:val="38F372D7"/>
    <w:rsid w:val="38F82C11"/>
    <w:rsid w:val="390457E9"/>
    <w:rsid w:val="39046717"/>
    <w:rsid w:val="390901EF"/>
    <w:rsid w:val="390F607E"/>
    <w:rsid w:val="39160A1A"/>
    <w:rsid w:val="391F67F6"/>
    <w:rsid w:val="393051E4"/>
    <w:rsid w:val="39315A99"/>
    <w:rsid w:val="394321B5"/>
    <w:rsid w:val="39484E09"/>
    <w:rsid w:val="395A1104"/>
    <w:rsid w:val="395B4F36"/>
    <w:rsid w:val="39677B25"/>
    <w:rsid w:val="39723D78"/>
    <w:rsid w:val="39857312"/>
    <w:rsid w:val="39872666"/>
    <w:rsid w:val="398C7053"/>
    <w:rsid w:val="398D2FCC"/>
    <w:rsid w:val="39906662"/>
    <w:rsid w:val="39906DD7"/>
    <w:rsid w:val="3992579C"/>
    <w:rsid w:val="39A00A76"/>
    <w:rsid w:val="39A34C72"/>
    <w:rsid w:val="39A8171C"/>
    <w:rsid w:val="39AA6B1B"/>
    <w:rsid w:val="39C509DD"/>
    <w:rsid w:val="39CB419C"/>
    <w:rsid w:val="39CC3BEB"/>
    <w:rsid w:val="39DA5F07"/>
    <w:rsid w:val="39E33012"/>
    <w:rsid w:val="39E6373E"/>
    <w:rsid w:val="39EB3C08"/>
    <w:rsid w:val="39EB559F"/>
    <w:rsid w:val="39F227A8"/>
    <w:rsid w:val="39F44362"/>
    <w:rsid w:val="39FA26AE"/>
    <w:rsid w:val="39FA7F52"/>
    <w:rsid w:val="3A005DC9"/>
    <w:rsid w:val="3A014FA2"/>
    <w:rsid w:val="3A0345E0"/>
    <w:rsid w:val="3A0606BF"/>
    <w:rsid w:val="3A095740"/>
    <w:rsid w:val="3A0F19F4"/>
    <w:rsid w:val="3A1102D1"/>
    <w:rsid w:val="3A142DA1"/>
    <w:rsid w:val="3A195C3F"/>
    <w:rsid w:val="3A2A65E3"/>
    <w:rsid w:val="3A334FB4"/>
    <w:rsid w:val="3A430829"/>
    <w:rsid w:val="3A4E487E"/>
    <w:rsid w:val="3A5B5BCB"/>
    <w:rsid w:val="3A5E4243"/>
    <w:rsid w:val="3A6D58D7"/>
    <w:rsid w:val="3A6F11C9"/>
    <w:rsid w:val="3A7C29F2"/>
    <w:rsid w:val="3A7F324C"/>
    <w:rsid w:val="3A87183B"/>
    <w:rsid w:val="3A880E29"/>
    <w:rsid w:val="3A92538A"/>
    <w:rsid w:val="3A94780D"/>
    <w:rsid w:val="3AAE6EAB"/>
    <w:rsid w:val="3AB80AA7"/>
    <w:rsid w:val="3ACD3B57"/>
    <w:rsid w:val="3AD17712"/>
    <w:rsid w:val="3AD82C28"/>
    <w:rsid w:val="3AE3139F"/>
    <w:rsid w:val="3AF17E99"/>
    <w:rsid w:val="3AF91CCD"/>
    <w:rsid w:val="3AFC6897"/>
    <w:rsid w:val="3B0A473B"/>
    <w:rsid w:val="3B0E529E"/>
    <w:rsid w:val="3B134072"/>
    <w:rsid w:val="3B274463"/>
    <w:rsid w:val="3B2E3DB6"/>
    <w:rsid w:val="3B306EA8"/>
    <w:rsid w:val="3B381D36"/>
    <w:rsid w:val="3B5775E3"/>
    <w:rsid w:val="3B6C128B"/>
    <w:rsid w:val="3B863C56"/>
    <w:rsid w:val="3B8A4A97"/>
    <w:rsid w:val="3B935BA8"/>
    <w:rsid w:val="3B947435"/>
    <w:rsid w:val="3B974891"/>
    <w:rsid w:val="3B9B1DDA"/>
    <w:rsid w:val="3BA32FC2"/>
    <w:rsid w:val="3BA62C5E"/>
    <w:rsid w:val="3BAE054D"/>
    <w:rsid w:val="3BB37481"/>
    <w:rsid w:val="3BB40C93"/>
    <w:rsid w:val="3BC14092"/>
    <w:rsid w:val="3BC24168"/>
    <w:rsid w:val="3BC43686"/>
    <w:rsid w:val="3BD031AE"/>
    <w:rsid w:val="3BE6341F"/>
    <w:rsid w:val="3BED2703"/>
    <w:rsid w:val="3BEE3F34"/>
    <w:rsid w:val="3BFA2EDC"/>
    <w:rsid w:val="3BFB4A10"/>
    <w:rsid w:val="3C0407C1"/>
    <w:rsid w:val="3C07387B"/>
    <w:rsid w:val="3C0E4D2A"/>
    <w:rsid w:val="3C0E56DA"/>
    <w:rsid w:val="3C0E61D6"/>
    <w:rsid w:val="3C104A2B"/>
    <w:rsid w:val="3C135817"/>
    <w:rsid w:val="3C153CA2"/>
    <w:rsid w:val="3C1A4E8D"/>
    <w:rsid w:val="3C203A19"/>
    <w:rsid w:val="3C3012FC"/>
    <w:rsid w:val="3C3022CE"/>
    <w:rsid w:val="3C364F22"/>
    <w:rsid w:val="3C3A2962"/>
    <w:rsid w:val="3C3C5492"/>
    <w:rsid w:val="3C4C418E"/>
    <w:rsid w:val="3C4C5111"/>
    <w:rsid w:val="3C4E414D"/>
    <w:rsid w:val="3C683C76"/>
    <w:rsid w:val="3C6B5A13"/>
    <w:rsid w:val="3C6F2DB7"/>
    <w:rsid w:val="3C715BD3"/>
    <w:rsid w:val="3C7241A3"/>
    <w:rsid w:val="3C736D56"/>
    <w:rsid w:val="3C77495C"/>
    <w:rsid w:val="3C784DBC"/>
    <w:rsid w:val="3C7923FD"/>
    <w:rsid w:val="3C793F97"/>
    <w:rsid w:val="3C7A5BC5"/>
    <w:rsid w:val="3C7A69DA"/>
    <w:rsid w:val="3C7E21FC"/>
    <w:rsid w:val="3C8369DF"/>
    <w:rsid w:val="3C985470"/>
    <w:rsid w:val="3C9A5B15"/>
    <w:rsid w:val="3C9F6C1D"/>
    <w:rsid w:val="3CA130A1"/>
    <w:rsid w:val="3CAF5049"/>
    <w:rsid w:val="3CB42249"/>
    <w:rsid w:val="3CBA2524"/>
    <w:rsid w:val="3CBC1EB2"/>
    <w:rsid w:val="3CBD7933"/>
    <w:rsid w:val="3CC82230"/>
    <w:rsid w:val="3CD2706C"/>
    <w:rsid w:val="3CD75F5F"/>
    <w:rsid w:val="3CDB4067"/>
    <w:rsid w:val="3CDB59F7"/>
    <w:rsid w:val="3CE26498"/>
    <w:rsid w:val="3CE545E6"/>
    <w:rsid w:val="3CED2681"/>
    <w:rsid w:val="3D1A37B0"/>
    <w:rsid w:val="3D240285"/>
    <w:rsid w:val="3D2B7651"/>
    <w:rsid w:val="3D393BB1"/>
    <w:rsid w:val="3D3C4114"/>
    <w:rsid w:val="3D485717"/>
    <w:rsid w:val="3D632551"/>
    <w:rsid w:val="3D8F3075"/>
    <w:rsid w:val="3D9745C5"/>
    <w:rsid w:val="3D9A7949"/>
    <w:rsid w:val="3D9C467B"/>
    <w:rsid w:val="3D9F6E79"/>
    <w:rsid w:val="3DA07301"/>
    <w:rsid w:val="3DB159B2"/>
    <w:rsid w:val="3DC84452"/>
    <w:rsid w:val="3DD23BF8"/>
    <w:rsid w:val="3DDE1109"/>
    <w:rsid w:val="3DF21144"/>
    <w:rsid w:val="3DF832AB"/>
    <w:rsid w:val="3E03044E"/>
    <w:rsid w:val="3E0516F6"/>
    <w:rsid w:val="3E060BCF"/>
    <w:rsid w:val="3E0D3DDD"/>
    <w:rsid w:val="3E0F5352"/>
    <w:rsid w:val="3E2069EE"/>
    <w:rsid w:val="3E247497"/>
    <w:rsid w:val="3E2E03FF"/>
    <w:rsid w:val="3E301A13"/>
    <w:rsid w:val="3E3E1D53"/>
    <w:rsid w:val="3E404EF2"/>
    <w:rsid w:val="3E437D22"/>
    <w:rsid w:val="3E490ABE"/>
    <w:rsid w:val="3E4B58A5"/>
    <w:rsid w:val="3E4C0E6C"/>
    <w:rsid w:val="3E53187B"/>
    <w:rsid w:val="3E546499"/>
    <w:rsid w:val="3E62636E"/>
    <w:rsid w:val="3E6334E7"/>
    <w:rsid w:val="3E6E10B1"/>
    <w:rsid w:val="3E756A36"/>
    <w:rsid w:val="3E7A3435"/>
    <w:rsid w:val="3E8310AF"/>
    <w:rsid w:val="3E83486D"/>
    <w:rsid w:val="3E87638D"/>
    <w:rsid w:val="3E8811DA"/>
    <w:rsid w:val="3E881D39"/>
    <w:rsid w:val="3E8F41FB"/>
    <w:rsid w:val="3E924FCB"/>
    <w:rsid w:val="3E947253"/>
    <w:rsid w:val="3E95202F"/>
    <w:rsid w:val="3E9B2286"/>
    <w:rsid w:val="3EBF73D4"/>
    <w:rsid w:val="3EC45D50"/>
    <w:rsid w:val="3ED82EAE"/>
    <w:rsid w:val="3ED8326F"/>
    <w:rsid w:val="3EDA4ED4"/>
    <w:rsid w:val="3EE21837"/>
    <w:rsid w:val="3EE768AB"/>
    <w:rsid w:val="3F00466A"/>
    <w:rsid w:val="3F327526"/>
    <w:rsid w:val="3F3349D4"/>
    <w:rsid w:val="3F3910CE"/>
    <w:rsid w:val="3F3F2C65"/>
    <w:rsid w:val="3F430284"/>
    <w:rsid w:val="3F443D56"/>
    <w:rsid w:val="3F44774C"/>
    <w:rsid w:val="3F575327"/>
    <w:rsid w:val="3F5D7C13"/>
    <w:rsid w:val="3F6039C2"/>
    <w:rsid w:val="3F690816"/>
    <w:rsid w:val="3F6B2844"/>
    <w:rsid w:val="3F6F42E2"/>
    <w:rsid w:val="3F8A3F1C"/>
    <w:rsid w:val="3F9149C7"/>
    <w:rsid w:val="3F94295F"/>
    <w:rsid w:val="3FA27F16"/>
    <w:rsid w:val="3FA52C08"/>
    <w:rsid w:val="3FAA0457"/>
    <w:rsid w:val="3FAA7193"/>
    <w:rsid w:val="3FAB6710"/>
    <w:rsid w:val="3FB62E0C"/>
    <w:rsid w:val="3FB926FD"/>
    <w:rsid w:val="3FBFD4FA"/>
    <w:rsid w:val="3FC90DC4"/>
    <w:rsid w:val="3FEE1178"/>
    <w:rsid w:val="3FF67181"/>
    <w:rsid w:val="3FFA1375"/>
    <w:rsid w:val="400659DE"/>
    <w:rsid w:val="40117C4C"/>
    <w:rsid w:val="401502FB"/>
    <w:rsid w:val="40245922"/>
    <w:rsid w:val="403F3E6D"/>
    <w:rsid w:val="404E3A3A"/>
    <w:rsid w:val="40585BBC"/>
    <w:rsid w:val="40616001"/>
    <w:rsid w:val="40636569"/>
    <w:rsid w:val="4068695F"/>
    <w:rsid w:val="406A16BE"/>
    <w:rsid w:val="406B5231"/>
    <w:rsid w:val="406C2120"/>
    <w:rsid w:val="4079717E"/>
    <w:rsid w:val="409D2F5B"/>
    <w:rsid w:val="40A135BD"/>
    <w:rsid w:val="40BA07EF"/>
    <w:rsid w:val="40C43051"/>
    <w:rsid w:val="40C9753F"/>
    <w:rsid w:val="40CA688F"/>
    <w:rsid w:val="40DD4D48"/>
    <w:rsid w:val="40F20C16"/>
    <w:rsid w:val="40FD3FE9"/>
    <w:rsid w:val="41006B4E"/>
    <w:rsid w:val="410435E7"/>
    <w:rsid w:val="411B167B"/>
    <w:rsid w:val="41223E7F"/>
    <w:rsid w:val="41296DAC"/>
    <w:rsid w:val="41301C9A"/>
    <w:rsid w:val="41355A90"/>
    <w:rsid w:val="415037DD"/>
    <w:rsid w:val="4168365C"/>
    <w:rsid w:val="4173703A"/>
    <w:rsid w:val="4176657D"/>
    <w:rsid w:val="41786190"/>
    <w:rsid w:val="41884770"/>
    <w:rsid w:val="418859D6"/>
    <w:rsid w:val="41943C55"/>
    <w:rsid w:val="419E6F42"/>
    <w:rsid w:val="41AA277F"/>
    <w:rsid w:val="41AC7EAB"/>
    <w:rsid w:val="41AF2E7C"/>
    <w:rsid w:val="41B2786C"/>
    <w:rsid w:val="41B50C94"/>
    <w:rsid w:val="41B72A7E"/>
    <w:rsid w:val="41F421B9"/>
    <w:rsid w:val="42006813"/>
    <w:rsid w:val="42104685"/>
    <w:rsid w:val="421175BD"/>
    <w:rsid w:val="421654C9"/>
    <w:rsid w:val="42262641"/>
    <w:rsid w:val="42340929"/>
    <w:rsid w:val="423A6E13"/>
    <w:rsid w:val="424005B8"/>
    <w:rsid w:val="425830C6"/>
    <w:rsid w:val="42723EF2"/>
    <w:rsid w:val="427341A8"/>
    <w:rsid w:val="42785161"/>
    <w:rsid w:val="42866868"/>
    <w:rsid w:val="428D023C"/>
    <w:rsid w:val="42A3581E"/>
    <w:rsid w:val="42B72071"/>
    <w:rsid w:val="42C32D3C"/>
    <w:rsid w:val="42C5222D"/>
    <w:rsid w:val="42D37638"/>
    <w:rsid w:val="42D850CA"/>
    <w:rsid w:val="42E23B41"/>
    <w:rsid w:val="42E42CCB"/>
    <w:rsid w:val="42E55112"/>
    <w:rsid w:val="42FE1677"/>
    <w:rsid w:val="42FE37FF"/>
    <w:rsid w:val="42FE3CD3"/>
    <w:rsid w:val="430102C8"/>
    <w:rsid w:val="43144687"/>
    <w:rsid w:val="432E04F8"/>
    <w:rsid w:val="4330156F"/>
    <w:rsid w:val="43344CFF"/>
    <w:rsid w:val="4340655B"/>
    <w:rsid w:val="434F17F6"/>
    <w:rsid w:val="43501147"/>
    <w:rsid w:val="435036B6"/>
    <w:rsid w:val="43533305"/>
    <w:rsid w:val="4357461E"/>
    <w:rsid w:val="4364117A"/>
    <w:rsid w:val="43690322"/>
    <w:rsid w:val="43781220"/>
    <w:rsid w:val="438B0488"/>
    <w:rsid w:val="439F4200"/>
    <w:rsid w:val="43A95524"/>
    <w:rsid w:val="43AB322D"/>
    <w:rsid w:val="43B12B00"/>
    <w:rsid w:val="43B81849"/>
    <w:rsid w:val="43B859E4"/>
    <w:rsid w:val="43C517AE"/>
    <w:rsid w:val="43CE0E92"/>
    <w:rsid w:val="43D50FC7"/>
    <w:rsid w:val="43D559BD"/>
    <w:rsid w:val="43D61CCF"/>
    <w:rsid w:val="43E602DA"/>
    <w:rsid w:val="43EB7D9D"/>
    <w:rsid w:val="43F32E89"/>
    <w:rsid w:val="43F3631D"/>
    <w:rsid w:val="43F37296"/>
    <w:rsid w:val="44052611"/>
    <w:rsid w:val="440E3D7B"/>
    <w:rsid w:val="44177BC5"/>
    <w:rsid w:val="441E54AB"/>
    <w:rsid w:val="442C18EF"/>
    <w:rsid w:val="44344BE9"/>
    <w:rsid w:val="44385893"/>
    <w:rsid w:val="44625F23"/>
    <w:rsid w:val="44646C67"/>
    <w:rsid w:val="44772335"/>
    <w:rsid w:val="44773462"/>
    <w:rsid w:val="448330A8"/>
    <w:rsid w:val="448E23D7"/>
    <w:rsid w:val="44A20B51"/>
    <w:rsid w:val="44B736FA"/>
    <w:rsid w:val="44BC57E2"/>
    <w:rsid w:val="44C1237B"/>
    <w:rsid w:val="44DF7E23"/>
    <w:rsid w:val="44EF7CD0"/>
    <w:rsid w:val="44F85735"/>
    <w:rsid w:val="45090814"/>
    <w:rsid w:val="450A2511"/>
    <w:rsid w:val="450B601E"/>
    <w:rsid w:val="451309A3"/>
    <w:rsid w:val="451502D8"/>
    <w:rsid w:val="451D14F1"/>
    <w:rsid w:val="451F5306"/>
    <w:rsid w:val="45237196"/>
    <w:rsid w:val="453F0FCB"/>
    <w:rsid w:val="45467186"/>
    <w:rsid w:val="454A452D"/>
    <w:rsid w:val="455926D6"/>
    <w:rsid w:val="4561181B"/>
    <w:rsid w:val="456F5BF8"/>
    <w:rsid w:val="457C29E0"/>
    <w:rsid w:val="457E59E7"/>
    <w:rsid w:val="45817197"/>
    <w:rsid w:val="45885326"/>
    <w:rsid w:val="45A24952"/>
    <w:rsid w:val="45A57BAB"/>
    <w:rsid w:val="45A87057"/>
    <w:rsid w:val="45B43E2A"/>
    <w:rsid w:val="45BD7EF6"/>
    <w:rsid w:val="45CE13D6"/>
    <w:rsid w:val="45D5137F"/>
    <w:rsid w:val="45D56ADC"/>
    <w:rsid w:val="45E20FEE"/>
    <w:rsid w:val="45E45053"/>
    <w:rsid w:val="45E510BA"/>
    <w:rsid w:val="45EB618E"/>
    <w:rsid w:val="45EB6847"/>
    <w:rsid w:val="45EC3FBD"/>
    <w:rsid w:val="45F57156"/>
    <w:rsid w:val="45F92E2C"/>
    <w:rsid w:val="45FD79E7"/>
    <w:rsid w:val="4604448E"/>
    <w:rsid w:val="46050349"/>
    <w:rsid w:val="460B1E86"/>
    <w:rsid w:val="4611533D"/>
    <w:rsid w:val="46221289"/>
    <w:rsid w:val="46271886"/>
    <w:rsid w:val="463070B6"/>
    <w:rsid w:val="463209C2"/>
    <w:rsid w:val="46331B3D"/>
    <w:rsid w:val="463E4B6F"/>
    <w:rsid w:val="46416B21"/>
    <w:rsid w:val="46513DDF"/>
    <w:rsid w:val="46516218"/>
    <w:rsid w:val="46545224"/>
    <w:rsid w:val="4660050C"/>
    <w:rsid w:val="466351F0"/>
    <w:rsid w:val="46757C31"/>
    <w:rsid w:val="467A433C"/>
    <w:rsid w:val="46823D4A"/>
    <w:rsid w:val="46895D47"/>
    <w:rsid w:val="469A76DB"/>
    <w:rsid w:val="469B0D50"/>
    <w:rsid w:val="46A05E0A"/>
    <w:rsid w:val="46AA764C"/>
    <w:rsid w:val="46B80111"/>
    <w:rsid w:val="46BB6E6B"/>
    <w:rsid w:val="46BC111E"/>
    <w:rsid w:val="46BC5847"/>
    <w:rsid w:val="46C05415"/>
    <w:rsid w:val="46C51269"/>
    <w:rsid w:val="46D54246"/>
    <w:rsid w:val="46DB614F"/>
    <w:rsid w:val="46DB7138"/>
    <w:rsid w:val="46F956FF"/>
    <w:rsid w:val="47037841"/>
    <w:rsid w:val="470904F4"/>
    <w:rsid w:val="470E1780"/>
    <w:rsid w:val="4711714F"/>
    <w:rsid w:val="47294356"/>
    <w:rsid w:val="472C2C72"/>
    <w:rsid w:val="47363F58"/>
    <w:rsid w:val="473E1095"/>
    <w:rsid w:val="47420E66"/>
    <w:rsid w:val="475467FE"/>
    <w:rsid w:val="4760210A"/>
    <w:rsid w:val="476E3313"/>
    <w:rsid w:val="476E4AC5"/>
    <w:rsid w:val="47733871"/>
    <w:rsid w:val="47762884"/>
    <w:rsid w:val="47766014"/>
    <w:rsid w:val="477B0118"/>
    <w:rsid w:val="477B17BB"/>
    <w:rsid w:val="477E6F14"/>
    <w:rsid w:val="477F04A9"/>
    <w:rsid w:val="478104EB"/>
    <w:rsid w:val="47864AE0"/>
    <w:rsid w:val="47875F98"/>
    <w:rsid w:val="479579B0"/>
    <w:rsid w:val="47967E44"/>
    <w:rsid w:val="479768CD"/>
    <w:rsid w:val="47995DF5"/>
    <w:rsid w:val="47AC4635"/>
    <w:rsid w:val="47B61C6F"/>
    <w:rsid w:val="47D55DFF"/>
    <w:rsid w:val="47DA5F6C"/>
    <w:rsid w:val="47F07063"/>
    <w:rsid w:val="47F667AC"/>
    <w:rsid w:val="47FC0C40"/>
    <w:rsid w:val="47FF4932"/>
    <w:rsid w:val="48123E17"/>
    <w:rsid w:val="481935D8"/>
    <w:rsid w:val="48212E04"/>
    <w:rsid w:val="482B699A"/>
    <w:rsid w:val="482E678E"/>
    <w:rsid w:val="48421C63"/>
    <w:rsid w:val="4853230C"/>
    <w:rsid w:val="4860400C"/>
    <w:rsid w:val="486974E6"/>
    <w:rsid w:val="48730214"/>
    <w:rsid w:val="487835F2"/>
    <w:rsid w:val="48816EF5"/>
    <w:rsid w:val="4889710F"/>
    <w:rsid w:val="489A58E4"/>
    <w:rsid w:val="48A24875"/>
    <w:rsid w:val="48B55277"/>
    <w:rsid w:val="48BF7AFB"/>
    <w:rsid w:val="48CB5887"/>
    <w:rsid w:val="48D75E9C"/>
    <w:rsid w:val="48DE36D8"/>
    <w:rsid w:val="48ED69B7"/>
    <w:rsid w:val="48FD1B2E"/>
    <w:rsid w:val="48FD7CFE"/>
    <w:rsid w:val="49085429"/>
    <w:rsid w:val="49181DB0"/>
    <w:rsid w:val="491B064B"/>
    <w:rsid w:val="49244F48"/>
    <w:rsid w:val="492B0AC8"/>
    <w:rsid w:val="492F17BC"/>
    <w:rsid w:val="4932317A"/>
    <w:rsid w:val="493D2AC3"/>
    <w:rsid w:val="494809DB"/>
    <w:rsid w:val="49481DBE"/>
    <w:rsid w:val="4964159C"/>
    <w:rsid w:val="496F5FB7"/>
    <w:rsid w:val="49793056"/>
    <w:rsid w:val="498D4132"/>
    <w:rsid w:val="49932E45"/>
    <w:rsid w:val="4993704F"/>
    <w:rsid w:val="499C798B"/>
    <w:rsid w:val="49A346C1"/>
    <w:rsid w:val="49AB6A49"/>
    <w:rsid w:val="49B1360A"/>
    <w:rsid w:val="49B27C62"/>
    <w:rsid w:val="49B70645"/>
    <w:rsid w:val="49BA290F"/>
    <w:rsid w:val="49C1268F"/>
    <w:rsid w:val="49C34C45"/>
    <w:rsid w:val="49D71E7B"/>
    <w:rsid w:val="49E13015"/>
    <w:rsid w:val="49EE19E0"/>
    <w:rsid w:val="49F64E79"/>
    <w:rsid w:val="49FC7627"/>
    <w:rsid w:val="4A1F7EB0"/>
    <w:rsid w:val="4A277582"/>
    <w:rsid w:val="4A282DB9"/>
    <w:rsid w:val="4A323A22"/>
    <w:rsid w:val="4A33120A"/>
    <w:rsid w:val="4A3C6839"/>
    <w:rsid w:val="4A4D3403"/>
    <w:rsid w:val="4A5A263E"/>
    <w:rsid w:val="4A6F188B"/>
    <w:rsid w:val="4A710911"/>
    <w:rsid w:val="4A726BAA"/>
    <w:rsid w:val="4A7346B1"/>
    <w:rsid w:val="4A7F7F18"/>
    <w:rsid w:val="4A82335D"/>
    <w:rsid w:val="4A826493"/>
    <w:rsid w:val="4A852A8D"/>
    <w:rsid w:val="4A952667"/>
    <w:rsid w:val="4A963422"/>
    <w:rsid w:val="4A9D34B8"/>
    <w:rsid w:val="4AA22C7D"/>
    <w:rsid w:val="4AA822D9"/>
    <w:rsid w:val="4AC22034"/>
    <w:rsid w:val="4AED6579"/>
    <w:rsid w:val="4AF95546"/>
    <w:rsid w:val="4AFB588F"/>
    <w:rsid w:val="4B0C2494"/>
    <w:rsid w:val="4B217B57"/>
    <w:rsid w:val="4B411887"/>
    <w:rsid w:val="4B47685E"/>
    <w:rsid w:val="4B502B24"/>
    <w:rsid w:val="4B564A6F"/>
    <w:rsid w:val="4B5A725D"/>
    <w:rsid w:val="4B626B3A"/>
    <w:rsid w:val="4B68745B"/>
    <w:rsid w:val="4B6C796D"/>
    <w:rsid w:val="4B721F00"/>
    <w:rsid w:val="4B83419F"/>
    <w:rsid w:val="4B917087"/>
    <w:rsid w:val="4BA229EF"/>
    <w:rsid w:val="4BA44E68"/>
    <w:rsid w:val="4BAB0466"/>
    <w:rsid w:val="4BAB57EF"/>
    <w:rsid w:val="4BBD7DA8"/>
    <w:rsid w:val="4BC91B09"/>
    <w:rsid w:val="4BD775FC"/>
    <w:rsid w:val="4BDD47F4"/>
    <w:rsid w:val="4BE978A5"/>
    <w:rsid w:val="4BF04A72"/>
    <w:rsid w:val="4BF86D6D"/>
    <w:rsid w:val="4C0739EE"/>
    <w:rsid w:val="4C143394"/>
    <w:rsid w:val="4C196BB9"/>
    <w:rsid w:val="4C2D64CC"/>
    <w:rsid w:val="4C352404"/>
    <w:rsid w:val="4C3C28EB"/>
    <w:rsid w:val="4C3D4357"/>
    <w:rsid w:val="4C49748B"/>
    <w:rsid w:val="4C497712"/>
    <w:rsid w:val="4C58766F"/>
    <w:rsid w:val="4C5A5BD4"/>
    <w:rsid w:val="4C6C771F"/>
    <w:rsid w:val="4C6D0CF6"/>
    <w:rsid w:val="4C6F0317"/>
    <w:rsid w:val="4C827C94"/>
    <w:rsid w:val="4C8368DB"/>
    <w:rsid w:val="4C86237E"/>
    <w:rsid w:val="4C8768B8"/>
    <w:rsid w:val="4C892A80"/>
    <w:rsid w:val="4C903ABD"/>
    <w:rsid w:val="4CAC6F86"/>
    <w:rsid w:val="4CB571EA"/>
    <w:rsid w:val="4CEE5D49"/>
    <w:rsid w:val="4CF77C53"/>
    <w:rsid w:val="4CFC0809"/>
    <w:rsid w:val="4D000F8C"/>
    <w:rsid w:val="4D0067D5"/>
    <w:rsid w:val="4D065468"/>
    <w:rsid w:val="4D2266CA"/>
    <w:rsid w:val="4D2E321B"/>
    <w:rsid w:val="4D3C02CE"/>
    <w:rsid w:val="4D446D1F"/>
    <w:rsid w:val="4D4705FD"/>
    <w:rsid w:val="4D473919"/>
    <w:rsid w:val="4D491497"/>
    <w:rsid w:val="4D5962AF"/>
    <w:rsid w:val="4D5E2AFB"/>
    <w:rsid w:val="4D717EDF"/>
    <w:rsid w:val="4D7F6F33"/>
    <w:rsid w:val="4D8219CC"/>
    <w:rsid w:val="4D9D711E"/>
    <w:rsid w:val="4D9E15F1"/>
    <w:rsid w:val="4D9E7167"/>
    <w:rsid w:val="4DA37D6C"/>
    <w:rsid w:val="4DB957A7"/>
    <w:rsid w:val="4DBB1783"/>
    <w:rsid w:val="4DC46C73"/>
    <w:rsid w:val="4DCD7C9F"/>
    <w:rsid w:val="4DD245BF"/>
    <w:rsid w:val="4DEC722B"/>
    <w:rsid w:val="4DEE4574"/>
    <w:rsid w:val="4DEE5B0A"/>
    <w:rsid w:val="4DFD1E0B"/>
    <w:rsid w:val="4E0566D6"/>
    <w:rsid w:val="4E095A16"/>
    <w:rsid w:val="4E096E4E"/>
    <w:rsid w:val="4E1217EE"/>
    <w:rsid w:val="4E183C69"/>
    <w:rsid w:val="4E2E41E6"/>
    <w:rsid w:val="4E3020D1"/>
    <w:rsid w:val="4E336239"/>
    <w:rsid w:val="4E360A67"/>
    <w:rsid w:val="4E3911A8"/>
    <w:rsid w:val="4E392040"/>
    <w:rsid w:val="4E3E74F2"/>
    <w:rsid w:val="4E491CCC"/>
    <w:rsid w:val="4E4D3DC5"/>
    <w:rsid w:val="4E4D7FC7"/>
    <w:rsid w:val="4E595274"/>
    <w:rsid w:val="4E685A60"/>
    <w:rsid w:val="4E7504EE"/>
    <w:rsid w:val="4E83492A"/>
    <w:rsid w:val="4E8C3510"/>
    <w:rsid w:val="4EBD2950"/>
    <w:rsid w:val="4EC042E4"/>
    <w:rsid w:val="4EC84E18"/>
    <w:rsid w:val="4ECA15BA"/>
    <w:rsid w:val="4ED60D59"/>
    <w:rsid w:val="4ED8514A"/>
    <w:rsid w:val="4ED866EB"/>
    <w:rsid w:val="4EE41892"/>
    <w:rsid w:val="4EE971D4"/>
    <w:rsid w:val="4EED488B"/>
    <w:rsid w:val="4EF45944"/>
    <w:rsid w:val="4F021BCA"/>
    <w:rsid w:val="4F027C1A"/>
    <w:rsid w:val="4F05591F"/>
    <w:rsid w:val="4F067289"/>
    <w:rsid w:val="4F0F5AC0"/>
    <w:rsid w:val="4F1D0CB2"/>
    <w:rsid w:val="4F354C7F"/>
    <w:rsid w:val="4F3F3010"/>
    <w:rsid w:val="4F4A5536"/>
    <w:rsid w:val="4F516B7D"/>
    <w:rsid w:val="4F5C20BE"/>
    <w:rsid w:val="4F722E88"/>
    <w:rsid w:val="4F800A87"/>
    <w:rsid w:val="4F951F9D"/>
    <w:rsid w:val="4F95697F"/>
    <w:rsid w:val="4F987A94"/>
    <w:rsid w:val="4FA06485"/>
    <w:rsid w:val="4FA230B5"/>
    <w:rsid w:val="4FB25D36"/>
    <w:rsid w:val="4FB600AC"/>
    <w:rsid w:val="4FB74DCE"/>
    <w:rsid w:val="4FCF5C77"/>
    <w:rsid w:val="4FCF79B6"/>
    <w:rsid w:val="4FDC4193"/>
    <w:rsid w:val="4FE06F43"/>
    <w:rsid w:val="4FE1408D"/>
    <w:rsid w:val="4FF87BDA"/>
    <w:rsid w:val="4FFB56B9"/>
    <w:rsid w:val="4FFC1C0F"/>
    <w:rsid w:val="4FFFDF46"/>
    <w:rsid w:val="501702A0"/>
    <w:rsid w:val="501B03E2"/>
    <w:rsid w:val="501F6BFB"/>
    <w:rsid w:val="50235513"/>
    <w:rsid w:val="502E071A"/>
    <w:rsid w:val="50372B46"/>
    <w:rsid w:val="5038102A"/>
    <w:rsid w:val="50533D7A"/>
    <w:rsid w:val="505470BC"/>
    <w:rsid w:val="5055041F"/>
    <w:rsid w:val="505A7CD1"/>
    <w:rsid w:val="505F5948"/>
    <w:rsid w:val="507B05D5"/>
    <w:rsid w:val="507E4835"/>
    <w:rsid w:val="50826DEB"/>
    <w:rsid w:val="508720AA"/>
    <w:rsid w:val="509B4624"/>
    <w:rsid w:val="50A97106"/>
    <w:rsid w:val="50AC6DEA"/>
    <w:rsid w:val="50C27FB4"/>
    <w:rsid w:val="50C82E97"/>
    <w:rsid w:val="50D07326"/>
    <w:rsid w:val="50D11DA1"/>
    <w:rsid w:val="50D643AB"/>
    <w:rsid w:val="50D95330"/>
    <w:rsid w:val="50F06BCF"/>
    <w:rsid w:val="50F07B2B"/>
    <w:rsid w:val="51131C92"/>
    <w:rsid w:val="51146B7A"/>
    <w:rsid w:val="511C55E6"/>
    <w:rsid w:val="512658C1"/>
    <w:rsid w:val="5133548C"/>
    <w:rsid w:val="5135497A"/>
    <w:rsid w:val="513F1A03"/>
    <w:rsid w:val="51402C4C"/>
    <w:rsid w:val="51413A5A"/>
    <w:rsid w:val="514424DF"/>
    <w:rsid w:val="514E72BF"/>
    <w:rsid w:val="51612BE6"/>
    <w:rsid w:val="516A593E"/>
    <w:rsid w:val="51711C0D"/>
    <w:rsid w:val="5173552E"/>
    <w:rsid w:val="518D5DD1"/>
    <w:rsid w:val="51A50DBB"/>
    <w:rsid w:val="51C838A7"/>
    <w:rsid w:val="51CE5746"/>
    <w:rsid w:val="51D14F11"/>
    <w:rsid w:val="51DC381E"/>
    <w:rsid w:val="51DF30F8"/>
    <w:rsid w:val="51EF2466"/>
    <w:rsid w:val="51F76001"/>
    <w:rsid w:val="52021276"/>
    <w:rsid w:val="521157BD"/>
    <w:rsid w:val="5212300D"/>
    <w:rsid w:val="522159A7"/>
    <w:rsid w:val="523D6662"/>
    <w:rsid w:val="523E6D57"/>
    <w:rsid w:val="523F2AE5"/>
    <w:rsid w:val="524143B1"/>
    <w:rsid w:val="5242502D"/>
    <w:rsid w:val="52444927"/>
    <w:rsid w:val="524A75DA"/>
    <w:rsid w:val="5262601D"/>
    <w:rsid w:val="526C173C"/>
    <w:rsid w:val="527145A6"/>
    <w:rsid w:val="52784DBB"/>
    <w:rsid w:val="527F1DD2"/>
    <w:rsid w:val="528176BB"/>
    <w:rsid w:val="52822B47"/>
    <w:rsid w:val="52900B68"/>
    <w:rsid w:val="52925E66"/>
    <w:rsid w:val="529B2122"/>
    <w:rsid w:val="52A35472"/>
    <w:rsid w:val="52A70EAB"/>
    <w:rsid w:val="52A94C11"/>
    <w:rsid w:val="52AA100F"/>
    <w:rsid w:val="52AA1B6E"/>
    <w:rsid w:val="52BC7BD7"/>
    <w:rsid w:val="52C67C23"/>
    <w:rsid w:val="52F26CA4"/>
    <w:rsid w:val="52F30EA2"/>
    <w:rsid w:val="52FD1663"/>
    <w:rsid w:val="531145F2"/>
    <w:rsid w:val="53191BB3"/>
    <w:rsid w:val="531C7443"/>
    <w:rsid w:val="53205D51"/>
    <w:rsid w:val="53231A14"/>
    <w:rsid w:val="5328717E"/>
    <w:rsid w:val="53290C61"/>
    <w:rsid w:val="53405E30"/>
    <w:rsid w:val="534B125D"/>
    <w:rsid w:val="534D2DEB"/>
    <w:rsid w:val="535E53F3"/>
    <w:rsid w:val="536319B2"/>
    <w:rsid w:val="53677922"/>
    <w:rsid w:val="53807561"/>
    <w:rsid w:val="538C44CC"/>
    <w:rsid w:val="539B3A61"/>
    <w:rsid w:val="53A32CE0"/>
    <w:rsid w:val="53A60870"/>
    <w:rsid w:val="53A84C0C"/>
    <w:rsid w:val="53A96F53"/>
    <w:rsid w:val="53AE0572"/>
    <w:rsid w:val="53C34865"/>
    <w:rsid w:val="53D32684"/>
    <w:rsid w:val="53DA18AC"/>
    <w:rsid w:val="53DB6C22"/>
    <w:rsid w:val="53E45AB6"/>
    <w:rsid w:val="540135DE"/>
    <w:rsid w:val="54033BCE"/>
    <w:rsid w:val="5404740F"/>
    <w:rsid w:val="54102D6B"/>
    <w:rsid w:val="54131712"/>
    <w:rsid w:val="542F2E0F"/>
    <w:rsid w:val="543E4A86"/>
    <w:rsid w:val="54476F4C"/>
    <w:rsid w:val="54481628"/>
    <w:rsid w:val="54604543"/>
    <w:rsid w:val="546B0211"/>
    <w:rsid w:val="547D6C97"/>
    <w:rsid w:val="547E642B"/>
    <w:rsid w:val="54862681"/>
    <w:rsid w:val="549A5809"/>
    <w:rsid w:val="54AD34C4"/>
    <w:rsid w:val="54B40048"/>
    <w:rsid w:val="54B43F95"/>
    <w:rsid w:val="54BA216B"/>
    <w:rsid w:val="54BE6F73"/>
    <w:rsid w:val="54C221A8"/>
    <w:rsid w:val="54CF6A17"/>
    <w:rsid w:val="54D046EF"/>
    <w:rsid w:val="54D951F4"/>
    <w:rsid w:val="54E74514"/>
    <w:rsid w:val="54EA5895"/>
    <w:rsid w:val="54F14D1E"/>
    <w:rsid w:val="5508132B"/>
    <w:rsid w:val="55086215"/>
    <w:rsid w:val="550A4657"/>
    <w:rsid w:val="55180218"/>
    <w:rsid w:val="551F2C7C"/>
    <w:rsid w:val="5520492E"/>
    <w:rsid w:val="55287769"/>
    <w:rsid w:val="553B071F"/>
    <w:rsid w:val="553C778E"/>
    <w:rsid w:val="554002AB"/>
    <w:rsid w:val="554D555D"/>
    <w:rsid w:val="555161D1"/>
    <w:rsid w:val="556E1A9F"/>
    <w:rsid w:val="55752A19"/>
    <w:rsid w:val="557A5B83"/>
    <w:rsid w:val="558215F4"/>
    <w:rsid w:val="55841307"/>
    <w:rsid w:val="55962FE0"/>
    <w:rsid w:val="559D2106"/>
    <w:rsid w:val="55A10DF0"/>
    <w:rsid w:val="55A175A6"/>
    <w:rsid w:val="55B042F8"/>
    <w:rsid w:val="55B1402D"/>
    <w:rsid w:val="55B675B3"/>
    <w:rsid w:val="55C037D5"/>
    <w:rsid w:val="55C6402C"/>
    <w:rsid w:val="55C70156"/>
    <w:rsid w:val="55CF5599"/>
    <w:rsid w:val="55D67B10"/>
    <w:rsid w:val="55F22C62"/>
    <w:rsid w:val="55F23D8E"/>
    <w:rsid w:val="5603771C"/>
    <w:rsid w:val="56090B83"/>
    <w:rsid w:val="56095E39"/>
    <w:rsid w:val="56195637"/>
    <w:rsid w:val="561C2F39"/>
    <w:rsid w:val="56262013"/>
    <w:rsid w:val="56383558"/>
    <w:rsid w:val="564505F2"/>
    <w:rsid w:val="56635D9C"/>
    <w:rsid w:val="56637A51"/>
    <w:rsid w:val="566540CD"/>
    <w:rsid w:val="56661347"/>
    <w:rsid w:val="5673006D"/>
    <w:rsid w:val="56752933"/>
    <w:rsid w:val="567F1C71"/>
    <w:rsid w:val="568156EF"/>
    <w:rsid w:val="568F3B46"/>
    <w:rsid w:val="56981066"/>
    <w:rsid w:val="56AC0B8E"/>
    <w:rsid w:val="56AF53A0"/>
    <w:rsid w:val="56B1297D"/>
    <w:rsid w:val="56B15EB0"/>
    <w:rsid w:val="56B860D6"/>
    <w:rsid w:val="56B95D55"/>
    <w:rsid w:val="56C13D92"/>
    <w:rsid w:val="56CB5551"/>
    <w:rsid w:val="56CD3D82"/>
    <w:rsid w:val="56D415D4"/>
    <w:rsid w:val="56DD12E5"/>
    <w:rsid w:val="56E0462C"/>
    <w:rsid w:val="570039CC"/>
    <w:rsid w:val="570109B9"/>
    <w:rsid w:val="57101F87"/>
    <w:rsid w:val="57131037"/>
    <w:rsid w:val="571F10B8"/>
    <w:rsid w:val="57283CBF"/>
    <w:rsid w:val="5728768E"/>
    <w:rsid w:val="573A1EEA"/>
    <w:rsid w:val="573B6D22"/>
    <w:rsid w:val="57414EB5"/>
    <w:rsid w:val="57421428"/>
    <w:rsid w:val="575B6C94"/>
    <w:rsid w:val="5762338F"/>
    <w:rsid w:val="577F5788"/>
    <w:rsid w:val="578A71ED"/>
    <w:rsid w:val="578C4726"/>
    <w:rsid w:val="57A203EE"/>
    <w:rsid w:val="57A45773"/>
    <w:rsid w:val="57A45A0B"/>
    <w:rsid w:val="57B71C0C"/>
    <w:rsid w:val="57B721EE"/>
    <w:rsid w:val="57B74EC7"/>
    <w:rsid w:val="57BB00A2"/>
    <w:rsid w:val="57DF393A"/>
    <w:rsid w:val="57EE550F"/>
    <w:rsid w:val="57F94210"/>
    <w:rsid w:val="58140DF3"/>
    <w:rsid w:val="581A6C16"/>
    <w:rsid w:val="581C4BA4"/>
    <w:rsid w:val="582A31B3"/>
    <w:rsid w:val="582C5C37"/>
    <w:rsid w:val="584C096E"/>
    <w:rsid w:val="584D6A82"/>
    <w:rsid w:val="58615A94"/>
    <w:rsid w:val="58695A9C"/>
    <w:rsid w:val="586C6306"/>
    <w:rsid w:val="587030DA"/>
    <w:rsid w:val="58800A8A"/>
    <w:rsid w:val="588333E5"/>
    <w:rsid w:val="58866BAF"/>
    <w:rsid w:val="58945C49"/>
    <w:rsid w:val="589505C6"/>
    <w:rsid w:val="589711FB"/>
    <w:rsid w:val="58A127C2"/>
    <w:rsid w:val="58A35A33"/>
    <w:rsid w:val="58AA7D56"/>
    <w:rsid w:val="58AB0D0C"/>
    <w:rsid w:val="58AF3175"/>
    <w:rsid w:val="58C44A83"/>
    <w:rsid w:val="58CD6C54"/>
    <w:rsid w:val="58D13774"/>
    <w:rsid w:val="58FB7105"/>
    <w:rsid w:val="58FF1FF9"/>
    <w:rsid w:val="59050C0F"/>
    <w:rsid w:val="590D1A69"/>
    <w:rsid w:val="592E0A74"/>
    <w:rsid w:val="593C4741"/>
    <w:rsid w:val="593E2878"/>
    <w:rsid w:val="595F5895"/>
    <w:rsid w:val="59623B23"/>
    <w:rsid w:val="596318B0"/>
    <w:rsid w:val="59791C33"/>
    <w:rsid w:val="598A75B5"/>
    <w:rsid w:val="59A05222"/>
    <w:rsid w:val="59A76EDA"/>
    <w:rsid w:val="59B2747D"/>
    <w:rsid w:val="59B82021"/>
    <w:rsid w:val="59C85BBA"/>
    <w:rsid w:val="59D845CF"/>
    <w:rsid w:val="59F91F3B"/>
    <w:rsid w:val="5A0969B1"/>
    <w:rsid w:val="5A136829"/>
    <w:rsid w:val="5A146C55"/>
    <w:rsid w:val="5A190D89"/>
    <w:rsid w:val="5A1C5F95"/>
    <w:rsid w:val="5A251DB9"/>
    <w:rsid w:val="5A262941"/>
    <w:rsid w:val="5A266EA9"/>
    <w:rsid w:val="5A2A18C7"/>
    <w:rsid w:val="5A300FBB"/>
    <w:rsid w:val="5A3A1C71"/>
    <w:rsid w:val="5A3F4F1E"/>
    <w:rsid w:val="5A4B3BC7"/>
    <w:rsid w:val="5A543740"/>
    <w:rsid w:val="5A641ED4"/>
    <w:rsid w:val="5A7C7858"/>
    <w:rsid w:val="5A8048EE"/>
    <w:rsid w:val="5A930D03"/>
    <w:rsid w:val="5A944180"/>
    <w:rsid w:val="5AA575C5"/>
    <w:rsid w:val="5AC307B0"/>
    <w:rsid w:val="5AD0057B"/>
    <w:rsid w:val="5AEA2AEA"/>
    <w:rsid w:val="5AEA59DC"/>
    <w:rsid w:val="5AF2269E"/>
    <w:rsid w:val="5AF9704F"/>
    <w:rsid w:val="5AFF0206"/>
    <w:rsid w:val="5B011FEF"/>
    <w:rsid w:val="5B0C3FF1"/>
    <w:rsid w:val="5B0D19B0"/>
    <w:rsid w:val="5B105DCB"/>
    <w:rsid w:val="5B123746"/>
    <w:rsid w:val="5B1851FF"/>
    <w:rsid w:val="5B3004B5"/>
    <w:rsid w:val="5B346D26"/>
    <w:rsid w:val="5B3C78A1"/>
    <w:rsid w:val="5B451BE3"/>
    <w:rsid w:val="5B47552E"/>
    <w:rsid w:val="5B561B27"/>
    <w:rsid w:val="5B563865"/>
    <w:rsid w:val="5B5C718D"/>
    <w:rsid w:val="5B5F134F"/>
    <w:rsid w:val="5B60255A"/>
    <w:rsid w:val="5B614084"/>
    <w:rsid w:val="5B615779"/>
    <w:rsid w:val="5B640C41"/>
    <w:rsid w:val="5B7D7D38"/>
    <w:rsid w:val="5B8A50DE"/>
    <w:rsid w:val="5B8A693E"/>
    <w:rsid w:val="5B8E7AB3"/>
    <w:rsid w:val="5B9C643C"/>
    <w:rsid w:val="5B9D12E3"/>
    <w:rsid w:val="5BC64949"/>
    <w:rsid w:val="5BDC7CD1"/>
    <w:rsid w:val="5BE063FF"/>
    <w:rsid w:val="5BE20F62"/>
    <w:rsid w:val="5BE70177"/>
    <w:rsid w:val="5BF11975"/>
    <w:rsid w:val="5BF83A00"/>
    <w:rsid w:val="5BFD0E7B"/>
    <w:rsid w:val="5C0A71FC"/>
    <w:rsid w:val="5C1D44E7"/>
    <w:rsid w:val="5C335AD2"/>
    <w:rsid w:val="5C3E3E63"/>
    <w:rsid w:val="5C486627"/>
    <w:rsid w:val="5C49124A"/>
    <w:rsid w:val="5C4E35AF"/>
    <w:rsid w:val="5C4F5811"/>
    <w:rsid w:val="5C5A5329"/>
    <w:rsid w:val="5C5C7D66"/>
    <w:rsid w:val="5C60422C"/>
    <w:rsid w:val="5C635AB0"/>
    <w:rsid w:val="5C646D44"/>
    <w:rsid w:val="5C647AF5"/>
    <w:rsid w:val="5C66535C"/>
    <w:rsid w:val="5C6755A7"/>
    <w:rsid w:val="5C6D424E"/>
    <w:rsid w:val="5C7929C3"/>
    <w:rsid w:val="5C832B3D"/>
    <w:rsid w:val="5C8A7F41"/>
    <w:rsid w:val="5C8C577B"/>
    <w:rsid w:val="5C916109"/>
    <w:rsid w:val="5C9C0F6E"/>
    <w:rsid w:val="5C9E1D55"/>
    <w:rsid w:val="5CA07506"/>
    <w:rsid w:val="5CA27C30"/>
    <w:rsid w:val="5CAF2E9D"/>
    <w:rsid w:val="5CBC6740"/>
    <w:rsid w:val="5CC326A2"/>
    <w:rsid w:val="5CC608C4"/>
    <w:rsid w:val="5CC837EE"/>
    <w:rsid w:val="5CCB1B67"/>
    <w:rsid w:val="5CD24156"/>
    <w:rsid w:val="5CD93AEF"/>
    <w:rsid w:val="5CDA3735"/>
    <w:rsid w:val="5CDF354A"/>
    <w:rsid w:val="5CE16EEF"/>
    <w:rsid w:val="5CE437F8"/>
    <w:rsid w:val="5CEB6FBB"/>
    <w:rsid w:val="5CEC59B4"/>
    <w:rsid w:val="5D050696"/>
    <w:rsid w:val="5D0D2094"/>
    <w:rsid w:val="5D0F1FBD"/>
    <w:rsid w:val="5D0F424E"/>
    <w:rsid w:val="5D1A5681"/>
    <w:rsid w:val="5D1E6FEC"/>
    <w:rsid w:val="5D2A05E8"/>
    <w:rsid w:val="5D2F4A70"/>
    <w:rsid w:val="5D384E5E"/>
    <w:rsid w:val="5D3F24FD"/>
    <w:rsid w:val="5D4069EC"/>
    <w:rsid w:val="5D424615"/>
    <w:rsid w:val="5D452035"/>
    <w:rsid w:val="5D472E6F"/>
    <w:rsid w:val="5D563779"/>
    <w:rsid w:val="5D584E0B"/>
    <w:rsid w:val="5D612CC1"/>
    <w:rsid w:val="5D7673E3"/>
    <w:rsid w:val="5D841F7C"/>
    <w:rsid w:val="5D842CD4"/>
    <w:rsid w:val="5D8B0DBF"/>
    <w:rsid w:val="5D9D63E1"/>
    <w:rsid w:val="5D9E3C43"/>
    <w:rsid w:val="5DBF12CC"/>
    <w:rsid w:val="5DDB4A18"/>
    <w:rsid w:val="5DE46A80"/>
    <w:rsid w:val="5DE95D92"/>
    <w:rsid w:val="5DEE3976"/>
    <w:rsid w:val="5DFB3C57"/>
    <w:rsid w:val="5E075358"/>
    <w:rsid w:val="5E1B2CA8"/>
    <w:rsid w:val="5E1C3178"/>
    <w:rsid w:val="5E2C368E"/>
    <w:rsid w:val="5E345375"/>
    <w:rsid w:val="5E37044A"/>
    <w:rsid w:val="5E4228B0"/>
    <w:rsid w:val="5E4552A1"/>
    <w:rsid w:val="5E4D1B34"/>
    <w:rsid w:val="5E4E1644"/>
    <w:rsid w:val="5E553788"/>
    <w:rsid w:val="5E5A17C1"/>
    <w:rsid w:val="5E653D3B"/>
    <w:rsid w:val="5E68756F"/>
    <w:rsid w:val="5E6B556E"/>
    <w:rsid w:val="5E6E2DD8"/>
    <w:rsid w:val="5E7548D4"/>
    <w:rsid w:val="5E771E14"/>
    <w:rsid w:val="5E7A0DEC"/>
    <w:rsid w:val="5E886969"/>
    <w:rsid w:val="5E8B106F"/>
    <w:rsid w:val="5E8D40BB"/>
    <w:rsid w:val="5E9162A9"/>
    <w:rsid w:val="5E926B16"/>
    <w:rsid w:val="5E9B11D3"/>
    <w:rsid w:val="5E9D0D74"/>
    <w:rsid w:val="5EA47E55"/>
    <w:rsid w:val="5EA57AD5"/>
    <w:rsid w:val="5EB33A73"/>
    <w:rsid w:val="5EB526FC"/>
    <w:rsid w:val="5EBA1FD7"/>
    <w:rsid w:val="5EC01D44"/>
    <w:rsid w:val="5EDF3132"/>
    <w:rsid w:val="5EEA4D46"/>
    <w:rsid w:val="5EF24A7D"/>
    <w:rsid w:val="5F037B01"/>
    <w:rsid w:val="5F0C6B39"/>
    <w:rsid w:val="5F0E3C81"/>
    <w:rsid w:val="5F1A52A3"/>
    <w:rsid w:val="5F1F5F3C"/>
    <w:rsid w:val="5F246425"/>
    <w:rsid w:val="5F2476B4"/>
    <w:rsid w:val="5F2B08F6"/>
    <w:rsid w:val="5F372492"/>
    <w:rsid w:val="5F37702B"/>
    <w:rsid w:val="5F3846C5"/>
    <w:rsid w:val="5F4F21FD"/>
    <w:rsid w:val="5F5D6596"/>
    <w:rsid w:val="5F6342F2"/>
    <w:rsid w:val="5F6B7684"/>
    <w:rsid w:val="5F6BA90B"/>
    <w:rsid w:val="5F6D3196"/>
    <w:rsid w:val="5F6D5E12"/>
    <w:rsid w:val="5F7E1DB4"/>
    <w:rsid w:val="5F803786"/>
    <w:rsid w:val="5F832B91"/>
    <w:rsid w:val="5F8570CE"/>
    <w:rsid w:val="5F876F48"/>
    <w:rsid w:val="5F9D47EA"/>
    <w:rsid w:val="5FB51DFD"/>
    <w:rsid w:val="5FB872AD"/>
    <w:rsid w:val="5FBB2D96"/>
    <w:rsid w:val="5FBE1C78"/>
    <w:rsid w:val="5FCD7764"/>
    <w:rsid w:val="5FD30D37"/>
    <w:rsid w:val="5FDD32B2"/>
    <w:rsid w:val="5FE71A9A"/>
    <w:rsid w:val="5FEC53F1"/>
    <w:rsid w:val="5FF34FD3"/>
    <w:rsid w:val="5FF404D5"/>
    <w:rsid w:val="5FF91DAE"/>
    <w:rsid w:val="5FFE18E5"/>
    <w:rsid w:val="60044326"/>
    <w:rsid w:val="60132F87"/>
    <w:rsid w:val="60133C63"/>
    <w:rsid w:val="60136EC9"/>
    <w:rsid w:val="60372CB7"/>
    <w:rsid w:val="603742C4"/>
    <w:rsid w:val="603B6FC6"/>
    <w:rsid w:val="60433F1A"/>
    <w:rsid w:val="604B5909"/>
    <w:rsid w:val="60546516"/>
    <w:rsid w:val="605E0C2A"/>
    <w:rsid w:val="606124E7"/>
    <w:rsid w:val="60954E83"/>
    <w:rsid w:val="609B0A35"/>
    <w:rsid w:val="60A818B2"/>
    <w:rsid w:val="60AB4123"/>
    <w:rsid w:val="60AE3960"/>
    <w:rsid w:val="60B26BFD"/>
    <w:rsid w:val="60BC14EB"/>
    <w:rsid w:val="60C72638"/>
    <w:rsid w:val="60E0197E"/>
    <w:rsid w:val="60F77A17"/>
    <w:rsid w:val="61101393"/>
    <w:rsid w:val="61112E4A"/>
    <w:rsid w:val="61146539"/>
    <w:rsid w:val="61215DA3"/>
    <w:rsid w:val="612F2B84"/>
    <w:rsid w:val="61305A20"/>
    <w:rsid w:val="61361D14"/>
    <w:rsid w:val="61396BBD"/>
    <w:rsid w:val="613A02EB"/>
    <w:rsid w:val="61407EC2"/>
    <w:rsid w:val="61457124"/>
    <w:rsid w:val="61473F1B"/>
    <w:rsid w:val="61563682"/>
    <w:rsid w:val="615C1E6E"/>
    <w:rsid w:val="6161317E"/>
    <w:rsid w:val="61637963"/>
    <w:rsid w:val="61741EEE"/>
    <w:rsid w:val="61834802"/>
    <w:rsid w:val="619111E2"/>
    <w:rsid w:val="619117A1"/>
    <w:rsid w:val="619B7BF6"/>
    <w:rsid w:val="619E0583"/>
    <w:rsid w:val="61B37132"/>
    <w:rsid w:val="61B80901"/>
    <w:rsid w:val="61C543A6"/>
    <w:rsid w:val="61C76AA7"/>
    <w:rsid w:val="61CD5978"/>
    <w:rsid w:val="61D30270"/>
    <w:rsid w:val="61D30C47"/>
    <w:rsid w:val="61EB5333"/>
    <w:rsid w:val="61EB7167"/>
    <w:rsid w:val="61F53E67"/>
    <w:rsid w:val="61F74D37"/>
    <w:rsid w:val="61FE381D"/>
    <w:rsid w:val="61FF680B"/>
    <w:rsid w:val="6201699A"/>
    <w:rsid w:val="620406FA"/>
    <w:rsid w:val="62066D15"/>
    <w:rsid w:val="620A2365"/>
    <w:rsid w:val="620D6893"/>
    <w:rsid w:val="62113D3D"/>
    <w:rsid w:val="623C1C3A"/>
    <w:rsid w:val="624000BA"/>
    <w:rsid w:val="624223B9"/>
    <w:rsid w:val="62551126"/>
    <w:rsid w:val="625802FF"/>
    <w:rsid w:val="625809A5"/>
    <w:rsid w:val="626528B0"/>
    <w:rsid w:val="626C0492"/>
    <w:rsid w:val="62723B1E"/>
    <w:rsid w:val="6284202E"/>
    <w:rsid w:val="62897BCE"/>
    <w:rsid w:val="628F514A"/>
    <w:rsid w:val="62922E0D"/>
    <w:rsid w:val="62953E38"/>
    <w:rsid w:val="62993668"/>
    <w:rsid w:val="62A15AED"/>
    <w:rsid w:val="62AD20A6"/>
    <w:rsid w:val="62BA6F8A"/>
    <w:rsid w:val="62BF67D8"/>
    <w:rsid w:val="62C14AD3"/>
    <w:rsid w:val="62C37595"/>
    <w:rsid w:val="62C44D49"/>
    <w:rsid w:val="62CC0A6D"/>
    <w:rsid w:val="62D6489F"/>
    <w:rsid w:val="62DC5F40"/>
    <w:rsid w:val="62DE4196"/>
    <w:rsid w:val="62E32CC5"/>
    <w:rsid w:val="62EE43CA"/>
    <w:rsid w:val="62F10D4F"/>
    <w:rsid w:val="62F65CBD"/>
    <w:rsid w:val="62F835B8"/>
    <w:rsid w:val="62FB7407"/>
    <w:rsid w:val="631D0884"/>
    <w:rsid w:val="631E20A5"/>
    <w:rsid w:val="633871E0"/>
    <w:rsid w:val="633965A2"/>
    <w:rsid w:val="63406844"/>
    <w:rsid w:val="634E6DD4"/>
    <w:rsid w:val="634F74D9"/>
    <w:rsid w:val="635119AA"/>
    <w:rsid w:val="63546D7C"/>
    <w:rsid w:val="635B6B27"/>
    <w:rsid w:val="635F3F31"/>
    <w:rsid w:val="63636ED1"/>
    <w:rsid w:val="63640C17"/>
    <w:rsid w:val="636A7786"/>
    <w:rsid w:val="63733A1E"/>
    <w:rsid w:val="637A6445"/>
    <w:rsid w:val="63833210"/>
    <w:rsid w:val="6392265E"/>
    <w:rsid w:val="63935A5D"/>
    <w:rsid w:val="63982ED9"/>
    <w:rsid w:val="639A2F08"/>
    <w:rsid w:val="639E7FE3"/>
    <w:rsid w:val="63BF3991"/>
    <w:rsid w:val="63C16388"/>
    <w:rsid w:val="63CA32E5"/>
    <w:rsid w:val="63CE38A9"/>
    <w:rsid w:val="63D0424F"/>
    <w:rsid w:val="63D043D8"/>
    <w:rsid w:val="63D2651D"/>
    <w:rsid w:val="63DA030B"/>
    <w:rsid w:val="63E27E36"/>
    <w:rsid w:val="63E327D5"/>
    <w:rsid w:val="63E8035A"/>
    <w:rsid w:val="63F543C1"/>
    <w:rsid w:val="63FF0F8D"/>
    <w:rsid w:val="63FF7863"/>
    <w:rsid w:val="6408557D"/>
    <w:rsid w:val="640C348F"/>
    <w:rsid w:val="641544C8"/>
    <w:rsid w:val="641D1B16"/>
    <w:rsid w:val="642796D0"/>
    <w:rsid w:val="644F0254"/>
    <w:rsid w:val="64593660"/>
    <w:rsid w:val="646F6A53"/>
    <w:rsid w:val="6472739A"/>
    <w:rsid w:val="6474262C"/>
    <w:rsid w:val="64754984"/>
    <w:rsid w:val="647758E1"/>
    <w:rsid w:val="64897EF1"/>
    <w:rsid w:val="64981717"/>
    <w:rsid w:val="649879E9"/>
    <w:rsid w:val="64996A3D"/>
    <w:rsid w:val="64A06D9D"/>
    <w:rsid w:val="64A1300C"/>
    <w:rsid w:val="64AF2F7D"/>
    <w:rsid w:val="64CA2D32"/>
    <w:rsid w:val="64D527D4"/>
    <w:rsid w:val="64DC448A"/>
    <w:rsid w:val="64DE698B"/>
    <w:rsid w:val="64DF27FC"/>
    <w:rsid w:val="64DF4789"/>
    <w:rsid w:val="64F31418"/>
    <w:rsid w:val="64F40F73"/>
    <w:rsid w:val="64FD2E13"/>
    <w:rsid w:val="65015003"/>
    <w:rsid w:val="65021E82"/>
    <w:rsid w:val="65036E79"/>
    <w:rsid w:val="650D55DE"/>
    <w:rsid w:val="6516033A"/>
    <w:rsid w:val="651F0970"/>
    <w:rsid w:val="65293DDA"/>
    <w:rsid w:val="652A223F"/>
    <w:rsid w:val="652D418B"/>
    <w:rsid w:val="6533183C"/>
    <w:rsid w:val="65346243"/>
    <w:rsid w:val="655755C9"/>
    <w:rsid w:val="657B2A5B"/>
    <w:rsid w:val="657E2608"/>
    <w:rsid w:val="6585674A"/>
    <w:rsid w:val="658764E5"/>
    <w:rsid w:val="658B4632"/>
    <w:rsid w:val="659E4A43"/>
    <w:rsid w:val="65A54E8F"/>
    <w:rsid w:val="65AE3E74"/>
    <w:rsid w:val="65B31411"/>
    <w:rsid w:val="65B73CE0"/>
    <w:rsid w:val="65BC5557"/>
    <w:rsid w:val="65C6115C"/>
    <w:rsid w:val="65CE72A0"/>
    <w:rsid w:val="65D139E4"/>
    <w:rsid w:val="65D86F46"/>
    <w:rsid w:val="65DD053F"/>
    <w:rsid w:val="65DF7832"/>
    <w:rsid w:val="65F334F1"/>
    <w:rsid w:val="65F530FC"/>
    <w:rsid w:val="65FC3794"/>
    <w:rsid w:val="66034197"/>
    <w:rsid w:val="66101D74"/>
    <w:rsid w:val="66111AD1"/>
    <w:rsid w:val="662639BA"/>
    <w:rsid w:val="66337F7D"/>
    <w:rsid w:val="663F30CF"/>
    <w:rsid w:val="664329EF"/>
    <w:rsid w:val="664C4B85"/>
    <w:rsid w:val="66546008"/>
    <w:rsid w:val="66553050"/>
    <w:rsid w:val="66576253"/>
    <w:rsid w:val="667271A4"/>
    <w:rsid w:val="667C714C"/>
    <w:rsid w:val="667FB15F"/>
    <w:rsid w:val="66831332"/>
    <w:rsid w:val="66877912"/>
    <w:rsid w:val="668A7056"/>
    <w:rsid w:val="668B1721"/>
    <w:rsid w:val="668F16DB"/>
    <w:rsid w:val="66A27392"/>
    <w:rsid w:val="66A78490"/>
    <w:rsid w:val="66B02628"/>
    <w:rsid w:val="66B05193"/>
    <w:rsid w:val="66B17F28"/>
    <w:rsid w:val="66CA0C91"/>
    <w:rsid w:val="66D61159"/>
    <w:rsid w:val="66DD6269"/>
    <w:rsid w:val="66EA1075"/>
    <w:rsid w:val="66F21E3F"/>
    <w:rsid w:val="66F763E7"/>
    <w:rsid w:val="66FE24F1"/>
    <w:rsid w:val="6707356C"/>
    <w:rsid w:val="670A3A9C"/>
    <w:rsid w:val="670E1088"/>
    <w:rsid w:val="67145B47"/>
    <w:rsid w:val="671A2394"/>
    <w:rsid w:val="671B7E74"/>
    <w:rsid w:val="671D6C85"/>
    <w:rsid w:val="671F69E4"/>
    <w:rsid w:val="6721602D"/>
    <w:rsid w:val="6721654B"/>
    <w:rsid w:val="67261D48"/>
    <w:rsid w:val="672D2AFF"/>
    <w:rsid w:val="672E31FD"/>
    <w:rsid w:val="67337813"/>
    <w:rsid w:val="67415FD8"/>
    <w:rsid w:val="67450603"/>
    <w:rsid w:val="67607803"/>
    <w:rsid w:val="67655830"/>
    <w:rsid w:val="67696302"/>
    <w:rsid w:val="67783997"/>
    <w:rsid w:val="678761AA"/>
    <w:rsid w:val="678C6D79"/>
    <w:rsid w:val="67A74E48"/>
    <w:rsid w:val="67B321B6"/>
    <w:rsid w:val="67B5543F"/>
    <w:rsid w:val="67C06FCE"/>
    <w:rsid w:val="67CE623B"/>
    <w:rsid w:val="67D43165"/>
    <w:rsid w:val="67DC3A6D"/>
    <w:rsid w:val="67F02E2C"/>
    <w:rsid w:val="67FB68A8"/>
    <w:rsid w:val="68026233"/>
    <w:rsid w:val="680D25D1"/>
    <w:rsid w:val="680F267D"/>
    <w:rsid w:val="68161C63"/>
    <w:rsid w:val="68191E18"/>
    <w:rsid w:val="681E1544"/>
    <w:rsid w:val="682E46BA"/>
    <w:rsid w:val="683134FF"/>
    <w:rsid w:val="683E68A3"/>
    <w:rsid w:val="68430D89"/>
    <w:rsid w:val="68523D57"/>
    <w:rsid w:val="68604EB0"/>
    <w:rsid w:val="68617509"/>
    <w:rsid w:val="686175BB"/>
    <w:rsid w:val="68636049"/>
    <w:rsid w:val="68691D73"/>
    <w:rsid w:val="686C7F86"/>
    <w:rsid w:val="68745A9F"/>
    <w:rsid w:val="68816EB1"/>
    <w:rsid w:val="689C0C72"/>
    <w:rsid w:val="68A128B9"/>
    <w:rsid w:val="68A2482A"/>
    <w:rsid w:val="68AA3376"/>
    <w:rsid w:val="68AE04A8"/>
    <w:rsid w:val="68B343CA"/>
    <w:rsid w:val="68BA631E"/>
    <w:rsid w:val="68BE02BB"/>
    <w:rsid w:val="68C1536C"/>
    <w:rsid w:val="68CF0AA1"/>
    <w:rsid w:val="68D23AEE"/>
    <w:rsid w:val="68E05E53"/>
    <w:rsid w:val="68ED36AB"/>
    <w:rsid w:val="68FA78AF"/>
    <w:rsid w:val="69156FF4"/>
    <w:rsid w:val="691B1D52"/>
    <w:rsid w:val="691B35EF"/>
    <w:rsid w:val="693518FB"/>
    <w:rsid w:val="69382828"/>
    <w:rsid w:val="69416A6E"/>
    <w:rsid w:val="6942653C"/>
    <w:rsid w:val="695D7D9C"/>
    <w:rsid w:val="69651C0E"/>
    <w:rsid w:val="69754E04"/>
    <w:rsid w:val="698E4D92"/>
    <w:rsid w:val="69A66701"/>
    <w:rsid w:val="69B935E9"/>
    <w:rsid w:val="69C94E27"/>
    <w:rsid w:val="69D37463"/>
    <w:rsid w:val="69D71C14"/>
    <w:rsid w:val="69D96B71"/>
    <w:rsid w:val="69E13245"/>
    <w:rsid w:val="69E748B1"/>
    <w:rsid w:val="69EE2EBB"/>
    <w:rsid w:val="69F04B5C"/>
    <w:rsid w:val="69F35177"/>
    <w:rsid w:val="69F6153A"/>
    <w:rsid w:val="69F640E4"/>
    <w:rsid w:val="69FA77C2"/>
    <w:rsid w:val="69FD3A97"/>
    <w:rsid w:val="69FE06EB"/>
    <w:rsid w:val="69FF4C98"/>
    <w:rsid w:val="69FF7BB9"/>
    <w:rsid w:val="6A0333FA"/>
    <w:rsid w:val="6A0863E3"/>
    <w:rsid w:val="6A1D5C50"/>
    <w:rsid w:val="6A1E0C4C"/>
    <w:rsid w:val="6A1E2BAC"/>
    <w:rsid w:val="6A1F589F"/>
    <w:rsid w:val="6A2F4FD5"/>
    <w:rsid w:val="6A3813C0"/>
    <w:rsid w:val="6A435C05"/>
    <w:rsid w:val="6A444286"/>
    <w:rsid w:val="6A473D57"/>
    <w:rsid w:val="6A4D4B94"/>
    <w:rsid w:val="6A636D50"/>
    <w:rsid w:val="6A693CC3"/>
    <w:rsid w:val="6A711944"/>
    <w:rsid w:val="6A713E88"/>
    <w:rsid w:val="6A85588A"/>
    <w:rsid w:val="6A984C81"/>
    <w:rsid w:val="6A9C05C2"/>
    <w:rsid w:val="6AA35385"/>
    <w:rsid w:val="6AA73225"/>
    <w:rsid w:val="6AAF2FEA"/>
    <w:rsid w:val="6AAF6894"/>
    <w:rsid w:val="6AB35B2D"/>
    <w:rsid w:val="6AD80116"/>
    <w:rsid w:val="6AE23BEF"/>
    <w:rsid w:val="6AE257DF"/>
    <w:rsid w:val="6AE93F86"/>
    <w:rsid w:val="6AFC1413"/>
    <w:rsid w:val="6B003858"/>
    <w:rsid w:val="6B065A3A"/>
    <w:rsid w:val="6B217970"/>
    <w:rsid w:val="6B225DD0"/>
    <w:rsid w:val="6B2D2679"/>
    <w:rsid w:val="6B301701"/>
    <w:rsid w:val="6B407BC5"/>
    <w:rsid w:val="6B451619"/>
    <w:rsid w:val="6B500E9D"/>
    <w:rsid w:val="6B5154D4"/>
    <w:rsid w:val="6B642323"/>
    <w:rsid w:val="6B672191"/>
    <w:rsid w:val="6B7C01D9"/>
    <w:rsid w:val="6B7C6660"/>
    <w:rsid w:val="6B846734"/>
    <w:rsid w:val="6B8B2217"/>
    <w:rsid w:val="6B9D14A1"/>
    <w:rsid w:val="6B9E0F66"/>
    <w:rsid w:val="6BA10A56"/>
    <w:rsid w:val="6BAF11AC"/>
    <w:rsid w:val="6BAF156B"/>
    <w:rsid w:val="6BB73005"/>
    <w:rsid w:val="6BBA2A4C"/>
    <w:rsid w:val="6BBF62EB"/>
    <w:rsid w:val="6BD37DB0"/>
    <w:rsid w:val="6BE47193"/>
    <w:rsid w:val="6BE52720"/>
    <w:rsid w:val="6BF070F4"/>
    <w:rsid w:val="6BF40F66"/>
    <w:rsid w:val="6BF55F0D"/>
    <w:rsid w:val="6BFB3185"/>
    <w:rsid w:val="6C076C8D"/>
    <w:rsid w:val="6C165E81"/>
    <w:rsid w:val="6C305F8D"/>
    <w:rsid w:val="6C4A6009"/>
    <w:rsid w:val="6C500A40"/>
    <w:rsid w:val="6C5A4BD3"/>
    <w:rsid w:val="6C5B43F9"/>
    <w:rsid w:val="6C7748D6"/>
    <w:rsid w:val="6C857B97"/>
    <w:rsid w:val="6C880A80"/>
    <w:rsid w:val="6C8C646B"/>
    <w:rsid w:val="6C9B5F0F"/>
    <w:rsid w:val="6CA715FC"/>
    <w:rsid w:val="6CA9581E"/>
    <w:rsid w:val="6CB6DC51"/>
    <w:rsid w:val="6CB85085"/>
    <w:rsid w:val="6CCB298D"/>
    <w:rsid w:val="6CD757D0"/>
    <w:rsid w:val="6CE344A7"/>
    <w:rsid w:val="6CE9267E"/>
    <w:rsid w:val="6CEA61B7"/>
    <w:rsid w:val="6CEC4846"/>
    <w:rsid w:val="6CEE3E90"/>
    <w:rsid w:val="6CF45B45"/>
    <w:rsid w:val="6CF96C14"/>
    <w:rsid w:val="6D046E1E"/>
    <w:rsid w:val="6D2E7C52"/>
    <w:rsid w:val="6D3040A6"/>
    <w:rsid w:val="6D325918"/>
    <w:rsid w:val="6D4113D3"/>
    <w:rsid w:val="6D524C3F"/>
    <w:rsid w:val="6D535DD6"/>
    <w:rsid w:val="6D5B4F1A"/>
    <w:rsid w:val="6D683D05"/>
    <w:rsid w:val="6D694D90"/>
    <w:rsid w:val="6D800432"/>
    <w:rsid w:val="6D8D4D8C"/>
    <w:rsid w:val="6D8E29B8"/>
    <w:rsid w:val="6D9B081F"/>
    <w:rsid w:val="6D9E6164"/>
    <w:rsid w:val="6DA438F0"/>
    <w:rsid w:val="6DB66549"/>
    <w:rsid w:val="6DB876D9"/>
    <w:rsid w:val="6DCA139F"/>
    <w:rsid w:val="6DCF77C5"/>
    <w:rsid w:val="6DEB3BCA"/>
    <w:rsid w:val="6DEE6E42"/>
    <w:rsid w:val="6DF472EA"/>
    <w:rsid w:val="6DF92A03"/>
    <w:rsid w:val="6DFE0297"/>
    <w:rsid w:val="6E091D34"/>
    <w:rsid w:val="6E1040C6"/>
    <w:rsid w:val="6E1356B1"/>
    <w:rsid w:val="6E155EC0"/>
    <w:rsid w:val="6E193E52"/>
    <w:rsid w:val="6E1C1280"/>
    <w:rsid w:val="6E1C2BD4"/>
    <w:rsid w:val="6E2077C1"/>
    <w:rsid w:val="6E2360E7"/>
    <w:rsid w:val="6E26388E"/>
    <w:rsid w:val="6E2F1C57"/>
    <w:rsid w:val="6E310F56"/>
    <w:rsid w:val="6E3B1E7B"/>
    <w:rsid w:val="6E3C4FD0"/>
    <w:rsid w:val="6E400F09"/>
    <w:rsid w:val="6E476943"/>
    <w:rsid w:val="6E496B96"/>
    <w:rsid w:val="6E512EBB"/>
    <w:rsid w:val="6E5A3708"/>
    <w:rsid w:val="6E5C309F"/>
    <w:rsid w:val="6E62785D"/>
    <w:rsid w:val="6E795A06"/>
    <w:rsid w:val="6E7B7303"/>
    <w:rsid w:val="6E865497"/>
    <w:rsid w:val="6EA14A8D"/>
    <w:rsid w:val="6EA9248F"/>
    <w:rsid w:val="6EAE2853"/>
    <w:rsid w:val="6EB55C13"/>
    <w:rsid w:val="6EBF4B5D"/>
    <w:rsid w:val="6EC22A43"/>
    <w:rsid w:val="6EC61ED7"/>
    <w:rsid w:val="6ED177DA"/>
    <w:rsid w:val="6ED352BD"/>
    <w:rsid w:val="6ED96D77"/>
    <w:rsid w:val="6EE73BF3"/>
    <w:rsid w:val="6F036CBE"/>
    <w:rsid w:val="6F097FDF"/>
    <w:rsid w:val="6F0F4C4D"/>
    <w:rsid w:val="6F1136A6"/>
    <w:rsid w:val="6F204751"/>
    <w:rsid w:val="6F2140E1"/>
    <w:rsid w:val="6F2317E3"/>
    <w:rsid w:val="6F247C2B"/>
    <w:rsid w:val="6F3A0E20"/>
    <w:rsid w:val="6F400007"/>
    <w:rsid w:val="6F4346D5"/>
    <w:rsid w:val="6F435767"/>
    <w:rsid w:val="6F47444E"/>
    <w:rsid w:val="6F55275B"/>
    <w:rsid w:val="6F5658E6"/>
    <w:rsid w:val="6F676B50"/>
    <w:rsid w:val="6F6D52C9"/>
    <w:rsid w:val="6F811B7C"/>
    <w:rsid w:val="6FAE2891"/>
    <w:rsid w:val="6FB73801"/>
    <w:rsid w:val="6FBC5AF2"/>
    <w:rsid w:val="6FBD0A96"/>
    <w:rsid w:val="6FBD19F9"/>
    <w:rsid w:val="6FC70A73"/>
    <w:rsid w:val="6FC90EEA"/>
    <w:rsid w:val="6FD360BC"/>
    <w:rsid w:val="6FEE06E3"/>
    <w:rsid w:val="6FEE5C14"/>
    <w:rsid w:val="6FF312D7"/>
    <w:rsid w:val="700737D2"/>
    <w:rsid w:val="700A2FB3"/>
    <w:rsid w:val="700F39FC"/>
    <w:rsid w:val="701A2DBF"/>
    <w:rsid w:val="701B6F8D"/>
    <w:rsid w:val="701C549A"/>
    <w:rsid w:val="70222418"/>
    <w:rsid w:val="70274482"/>
    <w:rsid w:val="702D0378"/>
    <w:rsid w:val="702D2212"/>
    <w:rsid w:val="703E3842"/>
    <w:rsid w:val="704E6F93"/>
    <w:rsid w:val="70580AF3"/>
    <w:rsid w:val="705C1E2B"/>
    <w:rsid w:val="70650EF5"/>
    <w:rsid w:val="706528DB"/>
    <w:rsid w:val="7066392F"/>
    <w:rsid w:val="706E2480"/>
    <w:rsid w:val="70745B2B"/>
    <w:rsid w:val="70786C79"/>
    <w:rsid w:val="707D1827"/>
    <w:rsid w:val="70803DE9"/>
    <w:rsid w:val="70983BD9"/>
    <w:rsid w:val="70A33E2C"/>
    <w:rsid w:val="70C304AD"/>
    <w:rsid w:val="70D41B40"/>
    <w:rsid w:val="70DB3C2E"/>
    <w:rsid w:val="70DF2A11"/>
    <w:rsid w:val="70FB20D1"/>
    <w:rsid w:val="710A2B6F"/>
    <w:rsid w:val="71215C87"/>
    <w:rsid w:val="714D0A76"/>
    <w:rsid w:val="71562326"/>
    <w:rsid w:val="71567813"/>
    <w:rsid w:val="715F30FE"/>
    <w:rsid w:val="71747364"/>
    <w:rsid w:val="717A72B3"/>
    <w:rsid w:val="717C2DDE"/>
    <w:rsid w:val="719572E7"/>
    <w:rsid w:val="719A621B"/>
    <w:rsid w:val="71A273E3"/>
    <w:rsid w:val="71CB1700"/>
    <w:rsid w:val="71CD751C"/>
    <w:rsid w:val="71CD7E16"/>
    <w:rsid w:val="71D436D3"/>
    <w:rsid w:val="71D81436"/>
    <w:rsid w:val="71DD182C"/>
    <w:rsid w:val="71EB7095"/>
    <w:rsid w:val="71F24211"/>
    <w:rsid w:val="71F24762"/>
    <w:rsid w:val="7227057A"/>
    <w:rsid w:val="723678F8"/>
    <w:rsid w:val="723937D3"/>
    <w:rsid w:val="72423113"/>
    <w:rsid w:val="72465FEB"/>
    <w:rsid w:val="724A4805"/>
    <w:rsid w:val="724A4CE0"/>
    <w:rsid w:val="72501370"/>
    <w:rsid w:val="725A12D7"/>
    <w:rsid w:val="726873C1"/>
    <w:rsid w:val="727B1580"/>
    <w:rsid w:val="72857387"/>
    <w:rsid w:val="728B53D8"/>
    <w:rsid w:val="728F1117"/>
    <w:rsid w:val="72A11024"/>
    <w:rsid w:val="72A464DF"/>
    <w:rsid w:val="72CA1ECC"/>
    <w:rsid w:val="72D46DF8"/>
    <w:rsid w:val="72DA48D1"/>
    <w:rsid w:val="72DC36E2"/>
    <w:rsid w:val="72EE0D75"/>
    <w:rsid w:val="72F416C6"/>
    <w:rsid w:val="72FD5876"/>
    <w:rsid w:val="730319B6"/>
    <w:rsid w:val="730731B7"/>
    <w:rsid w:val="731C48E6"/>
    <w:rsid w:val="73222D61"/>
    <w:rsid w:val="732E5320"/>
    <w:rsid w:val="73311069"/>
    <w:rsid w:val="73373BC4"/>
    <w:rsid w:val="733D67CB"/>
    <w:rsid w:val="733E031E"/>
    <w:rsid w:val="733F5DA0"/>
    <w:rsid w:val="73414ECA"/>
    <w:rsid w:val="73487F50"/>
    <w:rsid w:val="73491F32"/>
    <w:rsid w:val="736F7F45"/>
    <w:rsid w:val="73783BB8"/>
    <w:rsid w:val="73800E64"/>
    <w:rsid w:val="73832A97"/>
    <w:rsid w:val="73872DA8"/>
    <w:rsid w:val="7387674E"/>
    <w:rsid w:val="738D49B5"/>
    <w:rsid w:val="73AC0B5E"/>
    <w:rsid w:val="73AF381F"/>
    <w:rsid w:val="73B47D79"/>
    <w:rsid w:val="73C17FF4"/>
    <w:rsid w:val="73C95D04"/>
    <w:rsid w:val="73CE7C98"/>
    <w:rsid w:val="73D94DFC"/>
    <w:rsid w:val="73DD27A6"/>
    <w:rsid w:val="73DD49A4"/>
    <w:rsid w:val="73E218BF"/>
    <w:rsid w:val="73E35A10"/>
    <w:rsid w:val="73EC0920"/>
    <w:rsid w:val="73F66990"/>
    <w:rsid w:val="73F9454E"/>
    <w:rsid w:val="73FA088F"/>
    <w:rsid w:val="740A314B"/>
    <w:rsid w:val="741C5963"/>
    <w:rsid w:val="742325F8"/>
    <w:rsid w:val="74235AD3"/>
    <w:rsid w:val="74241931"/>
    <w:rsid w:val="742448B0"/>
    <w:rsid w:val="742479DD"/>
    <w:rsid w:val="74280288"/>
    <w:rsid w:val="74394F80"/>
    <w:rsid w:val="743A2165"/>
    <w:rsid w:val="74545336"/>
    <w:rsid w:val="74570D81"/>
    <w:rsid w:val="7461767D"/>
    <w:rsid w:val="74655B82"/>
    <w:rsid w:val="7467194F"/>
    <w:rsid w:val="74703059"/>
    <w:rsid w:val="74715218"/>
    <w:rsid w:val="74742919"/>
    <w:rsid w:val="74776930"/>
    <w:rsid w:val="747E12EE"/>
    <w:rsid w:val="74852162"/>
    <w:rsid w:val="748A642C"/>
    <w:rsid w:val="748F5B51"/>
    <w:rsid w:val="74A51FD1"/>
    <w:rsid w:val="74A62EF7"/>
    <w:rsid w:val="74AA1124"/>
    <w:rsid w:val="74CD42AD"/>
    <w:rsid w:val="74CE41F6"/>
    <w:rsid w:val="74D011ED"/>
    <w:rsid w:val="74F04889"/>
    <w:rsid w:val="7503692D"/>
    <w:rsid w:val="75083CED"/>
    <w:rsid w:val="750B4E19"/>
    <w:rsid w:val="750D20E7"/>
    <w:rsid w:val="75116CCD"/>
    <w:rsid w:val="75237F82"/>
    <w:rsid w:val="75327770"/>
    <w:rsid w:val="753679E1"/>
    <w:rsid w:val="75381CB1"/>
    <w:rsid w:val="75514932"/>
    <w:rsid w:val="755340CC"/>
    <w:rsid w:val="755E733A"/>
    <w:rsid w:val="755E7F92"/>
    <w:rsid w:val="756B7033"/>
    <w:rsid w:val="756C0ED9"/>
    <w:rsid w:val="75717AB9"/>
    <w:rsid w:val="75852CB4"/>
    <w:rsid w:val="75895F54"/>
    <w:rsid w:val="759A0A49"/>
    <w:rsid w:val="75B97A01"/>
    <w:rsid w:val="75CD14BB"/>
    <w:rsid w:val="75D2493C"/>
    <w:rsid w:val="75E70271"/>
    <w:rsid w:val="75EE45A1"/>
    <w:rsid w:val="75F15DF6"/>
    <w:rsid w:val="75FA6E57"/>
    <w:rsid w:val="75FD06EE"/>
    <w:rsid w:val="76161897"/>
    <w:rsid w:val="76201A67"/>
    <w:rsid w:val="762177E9"/>
    <w:rsid w:val="762368BE"/>
    <w:rsid w:val="762754F4"/>
    <w:rsid w:val="762C1B71"/>
    <w:rsid w:val="763A0C26"/>
    <w:rsid w:val="763F1ED1"/>
    <w:rsid w:val="76461CFB"/>
    <w:rsid w:val="764D2FDA"/>
    <w:rsid w:val="765A6D9F"/>
    <w:rsid w:val="766F725C"/>
    <w:rsid w:val="767050DD"/>
    <w:rsid w:val="76776B05"/>
    <w:rsid w:val="76783A6F"/>
    <w:rsid w:val="767B1729"/>
    <w:rsid w:val="76816D41"/>
    <w:rsid w:val="768174D6"/>
    <w:rsid w:val="76822D5F"/>
    <w:rsid w:val="768973BA"/>
    <w:rsid w:val="769647AB"/>
    <w:rsid w:val="76984412"/>
    <w:rsid w:val="76997C69"/>
    <w:rsid w:val="76B75142"/>
    <w:rsid w:val="76B8443B"/>
    <w:rsid w:val="76D24E32"/>
    <w:rsid w:val="76D31F1A"/>
    <w:rsid w:val="76D80D82"/>
    <w:rsid w:val="76DC7E8B"/>
    <w:rsid w:val="76F15014"/>
    <w:rsid w:val="76FC4CB7"/>
    <w:rsid w:val="770D3EE5"/>
    <w:rsid w:val="771022E7"/>
    <w:rsid w:val="77170A92"/>
    <w:rsid w:val="771A3428"/>
    <w:rsid w:val="771B0238"/>
    <w:rsid w:val="77230F03"/>
    <w:rsid w:val="7725256C"/>
    <w:rsid w:val="77255AB0"/>
    <w:rsid w:val="77267C83"/>
    <w:rsid w:val="77284EFB"/>
    <w:rsid w:val="77315B33"/>
    <w:rsid w:val="7753675A"/>
    <w:rsid w:val="775D10E3"/>
    <w:rsid w:val="7760487F"/>
    <w:rsid w:val="77697601"/>
    <w:rsid w:val="77734C40"/>
    <w:rsid w:val="777F291C"/>
    <w:rsid w:val="77805CD8"/>
    <w:rsid w:val="77815E20"/>
    <w:rsid w:val="77896DCC"/>
    <w:rsid w:val="77954AC0"/>
    <w:rsid w:val="779A667B"/>
    <w:rsid w:val="77B2272A"/>
    <w:rsid w:val="77BB445A"/>
    <w:rsid w:val="77BE7CED"/>
    <w:rsid w:val="77C51D8C"/>
    <w:rsid w:val="77C62998"/>
    <w:rsid w:val="77C758D6"/>
    <w:rsid w:val="77D82FAB"/>
    <w:rsid w:val="77E45298"/>
    <w:rsid w:val="77E500C2"/>
    <w:rsid w:val="77E86FE4"/>
    <w:rsid w:val="77EB22BA"/>
    <w:rsid w:val="77EB24E3"/>
    <w:rsid w:val="77EE0CEA"/>
    <w:rsid w:val="77FE53E9"/>
    <w:rsid w:val="77FE7BD9"/>
    <w:rsid w:val="78014233"/>
    <w:rsid w:val="78073BAB"/>
    <w:rsid w:val="780A4A7F"/>
    <w:rsid w:val="782878B2"/>
    <w:rsid w:val="78375F0F"/>
    <w:rsid w:val="78486CF0"/>
    <w:rsid w:val="784937C3"/>
    <w:rsid w:val="784B4256"/>
    <w:rsid w:val="784D587D"/>
    <w:rsid w:val="78501970"/>
    <w:rsid w:val="78572FFF"/>
    <w:rsid w:val="786E0F20"/>
    <w:rsid w:val="788A0CFB"/>
    <w:rsid w:val="788B70BF"/>
    <w:rsid w:val="789363A2"/>
    <w:rsid w:val="78940436"/>
    <w:rsid w:val="789A2EC0"/>
    <w:rsid w:val="78AD428C"/>
    <w:rsid w:val="78AF1C70"/>
    <w:rsid w:val="78AF6CFD"/>
    <w:rsid w:val="78B13110"/>
    <w:rsid w:val="78B65A28"/>
    <w:rsid w:val="78B74D1A"/>
    <w:rsid w:val="78BC3339"/>
    <w:rsid w:val="78C75250"/>
    <w:rsid w:val="78CA163A"/>
    <w:rsid w:val="78CD2FA6"/>
    <w:rsid w:val="78D05905"/>
    <w:rsid w:val="78D51BC9"/>
    <w:rsid w:val="78D63976"/>
    <w:rsid w:val="78D966C9"/>
    <w:rsid w:val="78E9078E"/>
    <w:rsid w:val="78EC71BF"/>
    <w:rsid w:val="78ED7CDF"/>
    <w:rsid w:val="78F22765"/>
    <w:rsid w:val="78F57EEE"/>
    <w:rsid w:val="78FE360B"/>
    <w:rsid w:val="79003330"/>
    <w:rsid w:val="790F19B7"/>
    <w:rsid w:val="791C29B3"/>
    <w:rsid w:val="79342EE7"/>
    <w:rsid w:val="793637EB"/>
    <w:rsid w:val="79504D96"/>
    <w:rsid w:val="79575E47"/>
    <w:rsid w:val="7958599E"/>
    <w:rsid w:val="79643A4C"/>
    <w:rsid w:val="79645E6C"/>
    <w:rsid w:val="79693E76"/>
    <w:rsid w:val="7969495B"/>
    <w:rsid w:val="796D2361"/>
    <w:rsid w:val="796D3477"/>
    <w:rsid w:val="796D6A57"/>
    <w:rsid w:val="796E4346"/>
    <w:rsid w:val="79A64627"/>
    <w:rsid w:val="79BE53CA"/>
    <w:rsid w:val="79CB4676"/>
    <w:rsid w:val="79E65A0C"/>
    <w:rsid w:val="79F736D0"/>
    <w:rsid w:val="79FC7B94"/>
    <w:rsid w:val="79FD417E"/>
    <w:rsid w:val="7A065C5D"/>
    <w:rsid w:val="7A12712C"/>
    <w:rsid w:val="7A237C1E"/>
    <w:rsid w:val="7A326030"/>
    <w:rsid w:val="7A3C19B4"/>
    <w:rsid w:val="7A467EA8"/>
    <w:rsid w:val="7A5375F6"/>
    <w:rsid w:val="7A6FF3A4"/>
    <w:rsid w:val="7A7C753A"/>
    <w:rsid w:val="7A84150A"/>
    <w:rsid w:val="7A891E4E"/>
    <w:rsid w:val="7AA9664C"/>
    <w:rsid w:val="7AAB3E96"/>
    <w:rsid w:val="7AAC0E8B"/>
    <w:rsid w:val="7AAC3CFC"/>
    <w:rsid w:val="7AAE0556"/>
    <w:rsid w:val="7AB672A8"/>
    <w:rsid w:val="7AC14F76"/>
    <w:rsid w:val="7AC7729E"/>
    <w:rsid w:val="7ACC57F7"/>
    <w:rsid w:val="7ACD64B9"/>
    <w:rsid w:val="7AD920E7"/>
    <w:rsid w:val="7AD945AB"/>
    <w:rsid w:val="7ADA128B"/>
    <w:rsid w:val="7AE01101"/>
    <w:rsid w:val="7AF01545"/>
    <w:rsid w:val="7AF64D4C"/>
    <w:rsid w:val="7B091175"/>
    <w:rsid w:val="7B0C44EA"/>
    <w:rsid w:val="7B0F6B55"/>
    <w:rsid w:val="7B12558C"/>
    <w:rsid w:val="7B240144"/>
    <w:rsid w:val="7B3F15F6"/>
    <w:rsid w:val="7B413DBE"/>
    <w:rsid w:val="7B4973BB"/>
    <w:rsid w:val="7B4B5D82"/>
    <w:rsid w:val="7B61606E"/>
    <w:rsid w:val="7B62149F"/>
    <w:rsid w:val="7B646A7C"/>
    <w:rsid w:val="7B656579"/>
    <w:rsid w:val="7B7FD611"/>
    <w:rsid w:val="7B8D09CF"/>
    <w:rsid w:val="7B9C530E"/>
    <w:rsid w:val="7BA51975"/>
    <w:rsid w:val="7BA5225A"/>
    <w:rsid w:val="7BAA2D03"/>
    <w:rsid w:val="7BB17E3D"/>
    <w:rsid w:val="7BBD20FA"/>
    <w:rsid w:val="7BC22EA5"/>
    <w:rsid w:val="7BCDABAC"/>
    <w:rsid w:val="7BD0029F"/>
    <w:rsid w:val="7BD63F97"/>
    <w:rsid w:val="7BD91886"/>
    <w:rsid w:val="7BE36225"/>
    <w:rsid w:val="7BF436F4"/>
    <w:rsid w:val="7BFC01F8"/>
    <w:rsid w:val="7BFE58E8"/>
    <w:rsid w:val="7BFF0716"/>
    <w:rsid w:val="7C0346F7"/>
    <w:rsid w:val="7C0C52FD"/>
    <w:rsid w:val="7C106E98"/>
    <w:rsid w:val="7C122EB9"/>
    <w:rsid w:val="7C2679CE"/>
    <w:rsid w:val="7C3364BB"/>
    <w:rsid w:val="7C337135"/>
    <w:rsid w:val="7C3871F2"/>
    <w:rsid w:val="7C406F52"/>
    <w:rsid w:val="7C417926"/>
    <w:rsid w:val="7C4D19CA"/>
    <w:rsid w:val="7C5523FA"/>
    <w:rsid w:val="7C5A7CD0"/>
    <w:rsid w:val="7C5B352A"/>
    <w:rsid w:val="7C642E78"/>
    <w:rsid w:val="7C69029A"/>
    <w:rsid w:val="7C7735D5"/>
    <w:rsid w:val="7C865C2E"/>
    <w:rsid w:val="7C871EDC"/>
    <w:rsid w:val="7C9A6C9C"/>
    <w:rsid w:val="7C9F4BE6"/>
    <w:rsid w:val="7CA07E3D"/>
    <w:rsid w:val="7CAE318A"/>
    <w:rsid w:val="7CB328D7"/>
    <w:rsid w:val="7CBC5690"/>
    <w:rsid w:val="7CC64038"/>
    <w:rsid w:val="7CCA362D"/>
    <w:rsid w:val="7CDC36EC"/>
    <w:rsid w:val="7CE26535"/>
    <w:rsid w:val="7CF20277"/>
    <w:rsid w:val="7CFC2C5D"/>
    <w:rsid w:val="7CFD2132"/>
    <w:rsid w:val="7CFF45A2"/>
    <w:rsid w:val="7D0345F2"/>
    <w:rsid w:val="7D052EA4"/>
    <w:rsid w:val="7D063F2D"/>
    <w:rsid w:val="7D0B4CE2"/>
    <w:rsid w:val="7D13263F"/>
    <w:rsid w:val="7D176B5E"/>
    <w:rsid w:val="7D205941"/>
    <w:rsid w:val="7D3156D8"/>
    <w:rsid w:val="7D3B6D72"/>
    <w:rsid w:val="7D4413BA"/>
    <w:rsid w:val="7D4D3C59"/>
    <w:rsid w:val="7D4E6DD3"/>
    <w:rsid w:val="7D546FB4"/>
    <w:rsid w:val="7D5859CA"/>
    <w:rsid w:val="7D5B76DD"/>
    <w:rsid w:val="7D671AEB"/>
    <w:rsid w:val="7D690EB3"/>
    <w:rsid w:val="7D7E02C9"/>
    <w:rsid w:val="7D8A2D8C"/>
    <w:rsid w:val="7D8B4EED"/>
    <w:rsid w:val="7D907C7B"/>
    <w:rsid w:val="7DC242E0"/>
    <w:rsid w:val="7DD331DF"/>
    <w:rsid w:val="7DE45A4F"/>
    <w:rsid w:val="7DF44E24"/>
    <w:rsid w:val="7DFC4D0F"/>
    <w:rsid w:val="7DFE2B56"/>
    <w:rsid w:val="7E1FB509"/>
    <w:rsid w:val="7E207121"/>
    <w:rsid w:val="7E225F3F"/>
    <w:rsid w:val="7E2D2770"/>
    <w:rsid w:val="7E36021B"/>
    <w:rsid w:val="7E36681D"/>
    <w:rsid w:val="7E3C7DE5"/>
    <w:rsid w:val="7E3E1E15"/>
    <w:rsid w:val="7E3F7470"/>
    <w:rsid w:val="7E423935"/>
    <w:rsid w:val="7E476F8D"/>
    <w:rsid w:val="7E6135BE"/>
    <w:rsid w:val="7E645D4D"/>
    <w:rsid w:val="7E6A0480"/>
    <w:rsid w:val="7E794A28"/>
    <w:rsid w:val="7E852C56"/>
    <w:rsid w:val="7E8D29AE"/>
    <w:rsid w:val="7E9220D6"/>
    <w:rsid w:val="7E9D74C6"/>
    <w:rsid w:val="7EA2099B"/>
    <w:rsid w:val="7EE157DD"/>
    <w:rsid w:val="7EE44903"/>
    <w:rsid w:val="7EE8171D"/>
    <w:rsid w:val="7EEAD3E5"/>
    <w:rsid w:val="7EEE4B99"/>
    <w:rsid w:val="7EF8718F"/>
    <w:rsid w:val="7F001B70"/>
    <w:rsid w:val="7F0A0C8F"/>
    <w:rsid w:val="7F0B7AFA"/>
    <w:rsid w:val="7F0F44C6"/>
    <w:rsid w:val="7F110979"/>
    <w:rsid w:val="7F162349"/>
    <w:rsid w:val="7F1A09AC"/>
    <w:rsid w:val="7F2A250B"/>
    <w:rsid w:val="7F37614B"/>
    <w:rsid w:val="7F3F7F7D"/>
    <w:rsid w:val="7F4F4D23"/>
    <w:rsid w:val="7F525CF0"/>
    <w:rsid w:val="7F567F7A"/>
    <w:rsid w:val="7F5777EC"/>
    <w:rsid w:val="7F617DF3"/>
    <w:rsid w:val="7F622219"/>
    <w:rsid w:val="7F675064"/>
    <w:rsid w:val="7F682EC0"/>
    <w:rsid w:val="7F6E51FB"/>
    <w:rsid w:val="7F743B6E"/>
    <w:rsid w:val="7F762A2D"/>
    <w:rsid w:val="7F77725A"/>
    <w:rsid w:val="7F796B80"/>
    <w:rsid w:val="7F80243F"/>
    <w:rsid w:val="7F8B7642"/>
    <w:rsid w:val="7F8E7B60"/>
    <w:rsid w:val="7F912F97"/>
    <w:rsid w:val="7F96323C"/>
    <w:rsid w:val="7F975160"/>
    <w:rsid w:val="7FA24467"/>
    <w:rsid w:val="7FB34A90"/>
    <w:rsid w:val="7FBE3494"/>
    <w:rsid w:val="7FBF5A0C"/>
    <w:rsid w:val="7FBF7612"/>
    <w:rsid w:val="7FBFAC04"/>
    <w:rsid w:val="7FD02626"/>
    <w:rsid w:val="7FDB3C42"/>
    <w:rsid w:val="7FDBD39A"/>
    <w:rsid w:val="7FEA07DC"/>
    <w:rsid w:val="7FF91A03"/>
    <w:rsid w:val="7FFB4153"/>
    <w:rsid w:val="7FFDC73F"/>
    <w:rsid w:val="7FFF4BF1"/>
    <w:rsid w:val="9CF750BB"/>
    <w:rsid w:val="9F9E0710"/>
    <w:rsid w:val="AF570CE7"/>
    <w:rsid w:val="AFDE3F36"/>
    <w:rsid w:val="B1FD5E95"/>
    <w:rsid w:val="B6526005"/>
    <w:rsid w:val="BFF138E6"/>
    <w:rsid w:val="BFFEE70E"/>
    <w:rsid w:val="CE5673DE"/>
    <w:rsid w:val="CFEED055"/>
    <w:rsid w:val="D1FF2F3A"/>
    <w:rsid w:val="DB3F810B"/>
    <w:rsid w:val="DBBFBB45"/>
    <w:rsid w:val="DCF7B667"/>
    <w:rsid w:val="DDBC28AD"/>
    <w:rsid w:val="DFF5E017"/>
    <w:rsid w:val="E13FFD93"/>
    <w:rsid w:val="EEFE6F07"/>
    <w:rsid w:val="EFF6E677"/>
    <w:rsid w:val="F5F3F349"/>
    <w:rsid w:val="F6BBBB96"/>
    <w:rsid w:val="F7775EEA"/>
    <w:rsid w:val="F7FD4F7A"/>
    <w:rsid w:val="FB3FACA9"/>
    <w:rsid w:val="FBBD3F6C"/>
    <w:rsid w:val="FDFB376C"/>
    <w:rsid w:val="FDFF43AE"/>
    <w:rsid w:val="FF7EEF3B"/>
    <w:rsid w:val="FF7EF170"/>
    <w:rsid w:val="FFBF835A"/>
    <w:rsid w:val="FFD6DD9B"/>
    <w:rsid w:val="FFFD8A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qFormat="1" w:uiPriority="99" w:semiHidden="0" w:name="Body Text 2"/>
    <w:lsdException w:qFormat="1" w:uiPriority="99" w:semiHidden="0" w:name="Body Text 3"/>
    <w:lsdException w:qFormat="1" w:uiPriority="99" w:semiHidden="0" w:name="Body Text Indent 2"/>
    <w:lsdException w:uiPriority="99"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szCs w:val="21"/>
      <w:lang w:val="en-US" w:eastAsia="zh-CN" w:bidi="ar-SA"/>
    </w:rPr>
  </w:style>
  <w:style w:type="paragraph" w:styleId="2">
    <w:name w:val="heading 1"/>
    <w:basedOn w:val="1"/>
    <w:next w:val="1"/>
    <w:link w:val="45"/>
    <w:qFormat/>
    <w:uiPriority w:val="99"/>
    <w:pPr>
      <w:keepNext/>
      <w:keepLines/>
      <w:widowControl w:val="0"/>
      <w:spacing w:before="340" w:after="330" w:line="576" w:lineRule="auto"/>
      <w:outlineLvl w:val="0"/>
    </w:pPr>
    <w:rPr>
      <w:b/>
      <w:bCs/>
      <w:kern w:val="44"/>
      <w:sz w:val="44"/>
      <w:szCs w:val="44"/>
    </w:rPr>
  </w:style>
  <w:style w:type="paragraph" w:styleId="3">
    <w:name w:val="heading 2"/>
    <w:basedOn w:val="1"/>
    <w:next w:val="1"/>
    <w:link w:val="44"/>
    <w:qFormat/>
    <w:uiPriority w:val="99"/>
    <w:pPr>
      <w:keepNext/>
      <w:keepLines/>
      <w:widowControl w:val="0"/>
      <w:spacing w:before="260" w:after="260" w:line="412" w:lineRule="auto"/>
      <w:outlineLvl w:val="1"/>
    </w:pPr>
    <w:rPr>
      <w:rFonts w:ascii="Arial" w:hAnsi="Arial" w:eastAsia="黑体"/>
      <w:b/>
      <w:bCs/>
      <w:sz w:val="32"/>
      <w:szCs w:val="32"/>
    </w:rPr>
  </w:style>
  <w:style w:type="paragraph" w:styleId="4">
    <w:name w:val="heading 3"/>
    <w:basedOn w:val="1"/>
    <w:next w:val="1"/>
    <w:link w:val="46"/>
    <w:qFormat/>
    <w:uiPriority w:val="99"/>
    <w:pPr>
      <w:keepNext/>
      <w:keepLines/>
      <w:widowControl w:val="0"/>
      <w:spacing w:before="260" w:after="260" w:line="412" w:lineRule="auto"/>
      <w:outlineLvl w:val="2"/>
    </w:pPr>
    <w:rPr>
      <w:b/>
      <w:bCs/>
      <w:sz w:val="32"/>
      <w:szCs w:val="32"/>
    </w:rPr>
  </w:style>
  <w:style w:type="paragraph" w:styleId="5">
    <w:name w:val="heading 4"/>
    <w:basedOn w:val="1"/>
    <w:next w:val="1"/>
    <w:unhideWhenUsed/>
    <w:qFormat/>
    <w:uiPriority w:val="0"/>
    <w:pPr>
      <w:keepNext/>
      <w:keepLines/>
      <w:autoSpaceDE w:val="0"/>
      <w:autoSpaceDN w:val="0"/>
      <w:adjustRightInd w:val="0"/>
      <w:spacing w:before="280" w:after="290" w:line="376" w:lineRule="atLeast"/>
      <w:outlineLvl w:val="3"/>
    </w:pPr>
    <w:rPr>
      <w:b/>
      <w:bCs/>
      <w:kern w:val="0"/>
      <w:sz w:val="24"/>
      <w:szCs w:val="28"/>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pPr>
    <w:rPr>
      <w:rFonts w:ascii="Calibri" w:hAnsi="Calibri" w:cs="Calibri"/>
      <w:sz w:val="18"/>
      <w:szCs w:val="18"/>
    </w:rPr>
  </w:style>
  <w:style w:type="paragraph" w:styleId="7">
    <w:name w:val="Normal Indent"/>
    <w:basedOn w:val="1"/>
    <w:unhideWhenUsed/>
    <w:qFormat/>
    <w:uiPriority w:val="99"/>
    <w:pPr>
      <w:ind w:firstLine="420" w:firstLineChars="200"/>
    </w:pPr>
  </w:style>
  <w:style w:type="paragraph" w:styleId="8">
    <w:name w:val="Document Map"/>
    <w:basedOn w:val="1"/>
    <w:link w:val="47"/>
    <w:unhideWhenUsed/>
    <w:qFormat/>
    <w:uiPriority w:val="99"/>
    <w:rPr>
      <w:rFonts w:ascii="宋体"/>
      <w:sz w:val="18"/>
      <w:szCs w:val="18"/>
    </w:rPr>
  </w:style>
  <w:style w:type="paragraph" w:styleId="9">
    <w:name w:val="toa heading"/>
    <w:basedOn w:val="1"/>
    <w:next w:val="1"/>
    <w:semiHidden/>
    <w:qFormat/>
    <w:uiPriority w:val="0"/>
    <w:pPr>
      <w:widowControl w:val="0"/>
      <w:spacing w:before="120"/>
      <w:jc w:val="both"/>
    </w:pPr>
    <w:rPr>
      <w:rFonts w:ascii="Arial" w:hAnsi="Arial" w:cs="Arial"/>
      <w:kern w:val="2"/>
      <w:sz w:val="24"/>
      <w:szCs w:val="24"/>
    </w:rPr>
  </w:style>
  <w:style w:type="paragraph" w:styleId="10">
    <w:name w:val="annotation text"/>
    <w:basedOn w:val="1"/>
    <w:unhideWhenUsed/>
    <w:qFormat/>
    <w:uiPriority w:val="99"/>
  </w:style>
  <w:style w:type="paragraph" w:styleId="11">
    <w:name w:val="Body Text 3"/>
    <w:basedOn w:val="1"/>
    <w:link w:val="48"/>
    <w:unhideWhenUsed/>
    <w:qFormat/>
    <w:uiPriority w:val="99"/>
    <w:rPr>
      <w:rFonts w:ascii="宋体"/>
      <w:sz w:val="24"/>
      <w:szCs w:val="24"/>
    </w:rPr>
  </w:style>
  <w:style w:type="paragraph" w:styleId="12">
    <w:name w:val="Body Text"/>
    <w:basedOn w:val="1"/>
    <w:next w:val="1"/>
    <w:qFormat/>
    <w:uiPriority w:val="0"/>
    <w:pPr>
      <w:spacing w:line="360" w:lineRule="auto"/>
    </w:pPr>
    <w:rPr>
      <w:kern w:val="2"/>
      <w:szCs w:val="24"/>
    </w:rPr>
  </w:style>
  <w:style w:type="paragraph" w:styleId="13">
    <w:name w:val="Body Text Indent"/>
    <w:basedOn w:val="1"/>
    <w:link w:val="49"/>
    <w:unhideWhenUsed/>
    <w:qFormat/>
    <w:uiPriority w:val="99"/>
    <w:pPr>
      <w:spacing w:line="460" w:lineRule="exact"/>
      <w:ind w:firstLine="510"/>
    </w:pPr>
  </w:style>
  <w:style w:type="paragraph" w:styleId="14">
    <w:name w:val="toc 5"/>
    <w:basedOn w:val="1"/>
    <w:next w:val="1"/>
    <w:unhideWhenUsed/>
    <w:qFormat/>
    <w:uiPriority w:val="39"/>
    <w:pPr>
      <w:ind w:left="840"/>
    </w:pPr>
    <w:rPr>
      <w:rFonts w:ascii="Calibri" w:hAnsi="Calibri" w:cs="Calibri"/>
      <w:sz w:val="18"/>
      <w:szCs w:val="18"/>
    </w:rPr>
  </w:style>
  <w:style w:type="paragraph" w:styleId="15">
    <w:name w:val="toc 3"/>
    <w:basedOn w:val="1"/>
    <w:next w:val="1"/>
    <w:unhideWhenUsed/>
    <w:qFormat/>
    <w:uiPriority w:val="39"/>
    <w:pPr>
      <w:ind w:left="420"/>
    </w:pPr>
    <w:rPr>
      <w:rFonts w:ascii="Calibri" w:hAnsi="Calibri" w:cs="Calibri"/>
      <w:i/>
      <w:iCs/>
      <w:sz w:val="20"/>
      <w:szCs w:val="20"/>
    </w:rPr>
  </w:style>
  <w:style w:type="paragraph" w:styleId="16">
    <w:name w:val="Plain Text"/>
    <w:basedOn w:val="1"/>
    <w:next w:val="1"/>
    <w:qFormat/>
    <w:uiPriority w:val="0"/>
    <w:rPr>
      <w:rFonts w:ascii="宋体" w:hAnsi="Courier New"/>
      <w:szCs w:val="20"/>
    </w:rPr>
  </w:style>
  <w:style w:type="paragraph" w:styleId="17">
    <w:name w:val="toc 8"/>
    <w:basedOn w:val="1"/>
    <w:next w:val="1"/>
    <w:unhideWhenUsed/>
    <w:qFormat/>
    <w:uiPriority w:val="39"/>
    <w:pPr>
      <w:ind w:left="1470"/>
    </w:pPr>
    <w:rPr>
      <w:rFonts w:ascii="Calibri" w:hAnsi="Calibri" w:cs="Calibri"/>
      <w:sz w:val="18"/>
      <w:szCs w:val="18"/>
    </w:rPr>
  </w:style>
  <w:style w:type="paragraph" w:styleId="18">
    <w:name w:val="Body Text Indent 2"/>
    <w:basedOn w:val="1"/>
    <w:link w:val="50"/>
    <w:unhideWhenUsed/>
    <w:qFormat/>
    <w:uiPriority w:val="99"/>
    <w:pPr>
      <w:widowControl w:val="0"/>
      <w:ind w:firstLine="358" w:firstLineChars="128"/>
      <w:jc w:val="both"/>
    </w:pPr>
    <w:rPr>
      <w:kern w:val="2"/>
      <w:sz w:val="28"/>
      <w:szCs w:val="20"/>
    </w:rPr>
  </w:style>
  <w:style w:type="paragraph" w:styleId="19">
    <w:name w:val="Balloon Text"/>
    <w:basedOn w:val="1"/>
    <w:link w:val="67"/>
    <w:unhideWhenUsed/>
    <w:qFormat/>
    <w:uiPriority w:val="99"/>
    <w:rPr>
      <w:sz w:val="18"/>
      <w:szCs w:val="18"/>
    </w:rPr>
  </w:style>
  <w:style w:type="paragraph" w:styleId="20">
    <w:name w:val="footer"/>
    <w:basedOn w:val="1"/>
    <w:link w:val="51"/>
    <w:unhideWhenUsed/>
    <w:qFormat/>
    <w:uiPriority w:val="99"/>
    <w:pPr>
      <w:tabs>
        <w:tab w:val="center" w:pos="4153"/>
        <w:tab w:val="right" w:pos="8306"/>
      </w:tabs>
      <w:snapToGrid w:val="0"/>
    </w:pPr>
    <w:rPr>
      <w:sz w:val="18"/>
      <w:szCs w:val="18"/>
    </w:rPr>
  </w:style>
  <w:style w:type="paragraph" w:styleId="21">
    <w:name w:val="envelope return"/>
    <w:basedOn w:val="1"/>
    <w:qFormat/>
    <w:uiPriority w:val="0"/>
    <w:pPr>
      <w:snapToGrid w:val="0"/>
    </w:pPr>
    <w:rPr>
      <w:rFonts w:ascii="Arial" w:hAnsi="Arial" w:eastAsia="宋体" w:cs="Times New Roman"/>
    </w:rPr>
  </w:style>
  <w:style w:type="paragraph" w:styleId="22">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pPr>
      <w:spacing w:before="120" w:after="120"/>
    </w:pPr>
    <w:rPr>
      <w:rFonts w:ascii="Calibri" w:hAnsi="Calibri" w:cs="Calibri"/>
      <w:b/>
      <w:bCs/>
      <w:caps/>
      <w:sz w:val="20"/>
      <w:szCs w:val="20"/>
    </w:rPr>
  </w:style>
  <w:style w:type="paragraph" w:styleId="24">
    <w:name w:val="toc 4"/>
    <w:basedOn w:val="1"/>
    <w:next w:val="1"/>
    <w:unhideWhenUsed/>
    <w:qFormat/>
    <w:uiPriority w:val="39"/>
    <w:pPr>
      <w:ind w:left="630"/>
    </w:pPr>
    <w:rPr>
      <w:rFonts w:ascii="Calibri" w:hAnsi="Calibri" w:cs="Calibri"/>
      <w:sz w:val="18"/>
      <w:szCs w:val="18"/>
    </w:rPr>
  </w:style>
  <w:style w:type="paragraph" w:styleId="25">
    <w:name w:val="footnote text"/>
    <w:basedOn w:val="1"/>
    <w:qFormat/>
    <w:uiPriority w:val="0"/>
    <w:pPr>
      <w:adjustRightInd w:val="0"/>
      <w:spacing w:line="312" w:lineRule="atLeast"/>
      <w:textAlignment w:val="baseline"/>
    </w:pPr>
    <w:rPr>
      <w:rFonts w:eastAsiaTheme="minorEastAsia"/>
      <w:sz w:val="18"/>
      <w:szCs w:val="20"/>
    </w:rPr>
  </w:style>
  <w:style w:type="paragraph" w:styleId="26">
    <w:name w:val="toc 6"/>
    <w:basedOn w:val="1"/>
    <w:next w:val="1"/>
    <w:unhideWhenUsed/>
    <w:qFormat/>
    <w:uiPriority w:val="39"/>
    <w:pPr>
      <w:ind w:left="1050"/>
    </w:pPr>
    <w:rPr>
      <w:rFonts w:ascii="Calibri" w:hAnsi="Calibri" w:cs="Calibri"/>
      <w:sz w:val="18"/>
      <w:szCs w:val="18"/>
    </w:rPr>
  </w:style>
  <w:style w:type="paragraph" w:styleId="27">
    <w:name w:val="toc 2"/>
    <w:basedOn w:val="1"/>
    <w:next w:val="1"/>
    <w:unhideWhenUsed/>
    <w:qFormat/>
    <w:uiPriority w:val="39"/>
    <w:pPr>
      <w:ind w:left="210"/>
    </w:pPr>
    <w:rPr>
      <w:rFonts w:ascii="Calibri" w:hAnsi="Calibri" w:cs="Calibri"/>
      <w:smallCaps/>
      <w:sz w:val="20"/>
      <w:szCs w:val="20"/>
    </w:rPr>
  </w:style>
  <w:style w:type="paragraph" w:styleId="28">
    <w:name w:val="toc 9"/>
    <w:basedOn w:val="1"/>
    <w:next w:val="1"/>
    <w:unhideWhenUsed/>
    <w:qFormat/>
    <w:uiPriority w:val="39"/>
    <w:pPr>
      <w:ind w:left="1680"/>
    </w:pPr>
    <w:rPr>
      <w:rFonts w:ascii="Calibri" w:hAnsi="Calibri" w:cs="Calibri"/>
      <w:sz w:val="18"/>
      <w:szCs w:val="18"/>
    </w:rPr>
  </w:style>
  <w:style w:type="paragraph" w:styleId="29">
    <w:name w:val="Body Text 2"/>
    <w:basedOn w:val="1"/>
    <w:link w:val="53"/>
    <w:unhideWhenUsed/>
    <w:qFormat/>
    <w:uiPriority w:val="99"/>
    <w:pPr>
      <w:spacing w:after="120" w:line="480" w:lineRule="auto"/>
    </w:pPr>
  </w:style>
  <w:style w:type="paragraph" w:styleId="30">
    <w:name w:val="Normal (Web)"/>
    <w:basedOn w:val="1"/>
    <w:unhideWhenUsed/>
    <w:qFormat/>
    <w:uiPriority w:val="99"/>
    <w:pPr>
      <w:spacing w:before="100" w:beforeAutospacing="1" w:after="100" w:afterAutospacing="1"/>
    </w:pPr>
    <w:rPr>
      <w:sz w:val="24"/>
      <w:szCs w:val="24"/>
    </w:rPr>
  </w:style>
  <w:style w:type="paragraph" w:styleId="31">
    <w:name w:val="annotation subject"/>
    <w:basedOn w:val="10"/>
    <w:next w:val="1"/>
    <w:qFormat/>
    <w:uiPriority w:val="0"/>
    <w:rPr>
      <w:b/>
      <w:bCs/>
    </w:rPr>
  </w:style>
  <w:style w:type="paragraph" w:styleId="32">
    <w:name w:val="Body Text First Indent"/>
    <w:basedOn w:val="12"/>
    <w:next w:val="1"/>
    <w:qFormat/>
    <w:uiPriority w:val="0"/>
    <w:pPr>
      <w:wordWrap w:val="0"/>
      <w:spacing w:line="360" w:lineRule="exact"/>
      <w:ind w:firstLine="420" w:firstLineChars="100"/>
    </w:pPr>
    <w:rPr>
      <w:sz w:val="28"/>
    </w:rPr>
  </w:style>
  <w:style w:type="paragraph" w:styleId="33">
    <w:name w:val="Body Text First Indent 2"/>
    <w:basedOn w:val="13"/>
    <w:next w:val="32"/>
    <w:unhideWhenUsed/>
    <w:qFormat/>
    <w:uiPriority w:val="99"/>
    <w:pPr>
      <w:spacing w:after="120"/>
      <w:ind w:left="420" w:leftChars="200" w:firstLine="420"/>
      <w:jc w:val="both"/>
    </w:pPr>
  </w:style>
  <w:style w:type="table" w:styleId="35">
    <w:name w:val="Table Grid"/>
    <w:basedOn w:val="34"/>
    <w:unhideWhenUsed/>
    <w:qFormat/>
    <w:uiPriority w:val="99"/>
    <w:pPr>
      <w:widowControl w:val="0"/>
      <w:jc w:val="both"/>
    </w:pPr>
    <w:rPr>
      <w:rFonts w:eastAsia="Times New Roman"/>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qFormat/>
    <w:uiPriority w:val="22"/>
    <w:rPr>
      <w:b/>
      <w:bCs/>
    </w:rPr>
  </w:style>
  <w:style w:type="character" w:styleId="38">
    <w:name w:val="FollowedHyperlink"/>
    <w:basedOn w:val="36"/>
    <w:unhideWhenUsed/>
    <w:qFormat/>
    <w:uiPriority w:val="99"/>
    <w:rPr>
      <w:color w:val="333333"/>
      <w:u w:val="none"/>
    </w:rPr>
  </w:style>
  <w:style w:type="character" w:styleId="39">
    <w:name w:val="Emphasis"/>
    <w:basedOn w:val="36"/>
    <w:qFormat/>
    <w:uiPriority w:val="20"/>
    <w:rPr>
      <w:i/>
    </w:rPr>
  </w:style>
  <w:style w:type="character" w:styleId="40">
    <w:name w:val="Hyperlink"/>
    <w:basedOn w:val="36"/>
    <w:unhideWhenUsed/>
    <w:qFormat/>
    <w:uiPriority w:val="99"/>
    <w:rPr>
      <w:color w:val="333333"/>
      <w:u w:val="none"/>
    </w:rPr>
  </w:style>
  <w:style w:type="character" w:styleId="41">
    <w:name w:val="annotation reference"/>
    <w:basedOn w:val="36"/>
    <w:unhideWhenUsed/>
    <w:qFormat/>
    <w:uiPriority w:val="99"/>
    <w:rPr>
      <w:sz w:val="21"/>
      <w:szCs w:val="21"/>
    </w:rPr>
  </w:style>
  <w:style w:type="paragraph" w:customStyle="1" w:styleId="4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3">
    <w:name w:val="正文文本 21"/>
    <w:basedOn w:val="1"/>
    <w:qFormat/>
    <w:locked/>
    <w:uiPriority w:val="0"/>
    <w:pPr>
      <w:spacing w:line="500" w:lineRule="exact"/>
    </w:pPr>
    <w:rPr>
      <w:color w:val="000000"/>
      <w:sz w:val="30"/>
      <w:szCs w:val="24"/>
    </w:rPr>
  </w:style>
  <w:style w:type="character" w:customStyle="1" w:styleId="44">
    <w:name w:val="标题 2 字符"/>
    <w:basedOn w:val="36"/>
    <w:link w:val="3"/>
    <w:qFormat/>
    <w:uiPriority w:val="99"/>
    <w:rPr>
      <w:rFonts w:ascii="Arial" w:hAnsi="Arial" w:eastAsia="黑体" w:cs="Times New Roman"/>
      <w:b/>
      <w:bCs/>
      <w:kern w:val="0"/>
      <w:sz w:val="32"/>
      <w:szCs w:val="32"/>
    </w:rPr>
  </w:style>
  <w:style w:type="character" w:customStyle="1" w:styleId="45">
    <w:name w:val="标题 1 字符"/>
    <w:basedOn w:val="36"/>
    <w:link w:val="2"/>
    <w:qFormat/>
    <w:uiPriority w:val="99"/>
    <w:rPr>
      <w:rFonts w:ascii="Calibri" w:hAnsi="Calibri" w:eastAsia="宋体" w:cs="Times New Roman"/>
      <w:b/>
      <w:bCs/>
      <w:kern w:val="44"/>
      <w:sz w:val="44"/>
      <w:szCs w:val="44"/>
    </w:rPr>
  </w:style>
  <w:style w:type="character" w:customStyle="1" w:styleId="46">
    <w:name w:val="标题 3 字符"/>
    <w:basedOn w:val="36"/>
    <w:link w:val="4"/>
    <w:qFormat/>
    <w:uiPriority w:val="99"/>
    <w:rPr>
      <w:rFonts w:ascii="Calibri" w:hAnsi="Calibri" w:eastAsia="宋体" w:cs="Times New Roman"/>
      <w:b/>
      <w:bCs/>
      <w:kern w:val="0"/>
      <w:sz w:val="32"/>
      <w:szCs w:val="32"/>
    </w:rPr>
  </w:style>
  <w:style w:type="character" w:customStyle="1" w:styleId="47">
    <w:name w:val="文档结构图 字符"/>
    <w:basedOn w:val="36"/>
    <w:link w:val="8"/>
    <w:semiHidden/>
    <w:qFormat/>
    <w:uiPriority w:val="99"/>
    <w:rPr>
      <w:rFonts w:ascii="宋体"/>
      <w:sz w:val="18"/>
      <w:szCs w:val="18"/>
    </w:rPr>
  </w:style>
  <w:style w:type="character" w:customStyle="1" w:styleId="48">
    <w:name w:val="正文文本 3 字符"/>
    <w:basedOn w:val="36"/>
    <w:link w:val="11"/>
    <w:qFormat/>
    <w:uiPriority w:val="99"/>
    <w:rPr>
      <w:rFonts w:ascii="宋体" w:hAnsi="Calibri" w:eastAsia="宋体" w:cs="Times New Roman"/>
      <w:kern w:val="0"/>
      <w:sz w:val="24"/>
      <w:szCs w:val="24"/>
    </w:rPr>
  </w:style>
  <w:style w:type="character" w:customStyle="1" w:styleId="49">
    <w:name w:val="正文文本缩进 字符"/>
    <w:basedOn w:val="36"/>
    <w:link w:val="13"/>
    <w:qFormat/>
    <w:uiPriority w:val="99"/>
    <w:rPr>
      <w:rFonts w:ascii="Calibri" w:hAnsi="Calibri" w:eastAsia="宋体" w:cs="Times New Roman"/>
      <w:kern w:val="0"/>
      <w:szCs w:val="21"/>
    </w:rPr>
  </w:style>
  <w:style w:type="character" w:customStyle="1" w:styleId="50">
    <w:name w:val="正文文本缩进 2 字符"/>
    <w:basedOn w:val="36"/>
    <w:link w:val="18"/>
    <w:qFormat/>
    <w:uiPriority w:val="0"/>
    <w:rPr>
      <w:kern w:val="2"/>
      <w:sz w:val="28"/>
    </w:rPr>
  </w:style>
  <w:style w:type="character" w:customStyle="1" w:styleId="51">
    <w:name w:val="页脚 字符"/>
    <w:basedOn w:val="36"/>
    <w:link w:val="20"/>
    <w:qFormat/>
    <w:uiPriority w:val="99"/>
    <w:rPr>
      <w:sz w:val="18"/>
      <w:szCs w:val="18"/>
    </w:rPr>
  </w:style>
  <w:style w:type="character" w:customStyle="1" w:styleId="52">
    <w:name w:val="页眉 字符"/>
    <w:basedOn w:val="36"/>
    <w:link w:val="22"/>
    <w:qFormat/>
    <w:uiPriority w:val="99"/>
    <w:rPr>
      <w:sz w:val="18"/>
      <w:szCs w:val="18"/>
    </w:rPr>
  </w:style>
  <w:style w:type="character" w:customStyle="1" w:styleId="53">
    <w:name w:val="正文文本 2 字符"/>
    <w:basedOn w:val="36"/>
    <w:link w:val="29"/>
    <w:semiHidden/>
    <w:qFormat/>
    <w:uiPriority w:val="99"/>
    <w:rPr>
      <w:sz w:val="21"/>
      <w:szCs w:val="21"/>
    </w:rPr>
  </w:style>
  <w:style w:type="character" w:customStyle="1" w:styleId="54">
    <w:name w:val="15"/>
    <w:basedOn w:val="36"/>
    <w:qFormat/>
    <w:uiPriority w:val="0"/>
    <w:rPr>
      <w:rFonts w:hint="default" w:ascii="Times New Roman" w:hAnsi="Times New Roman" w:cs="Times New Roman"/>
      <w:b/>
      <w:bCs/>
      <w:kern w:val="44"/>
      <w:sz w:val="44"/>
      <w:szCs w:val="44"/>
    </w:rPr>
  </w:style>
  <w:style w:type="character" w:customStyle="1" w:styleId="55">
    <w:name w:val="16"/>
    <w:basedOn w:val="36"/>
    <w:qFormat/>
    <w:uiPriority w:val="0"/>
    <w:rPr>
      <w:rFonts w:hint="default" w:ascii="Times New Roman" w:hAnsi="Times New Roman" w:cs="Times New Roman"/>
      <w:b/>
      <w:bCs/>
      <w:sz w:val="32"/>
      <w:szCs w:val="32"/>
    </w:rPr>
  </w:style>
  <w:style w:type="paragraph" w:customStyle="1" w:styleId="56">
    <w:name w:val="_Style 2"/>
    <w:basedOn w:val="1"/>
    <w:qFormat/>
    <w:uiPriority w:val="0"/>
  </w:style>
  <w:style w:type="paragraph" w:customStyle="1" w:styleId="57">
    <w:name w:val="正文缩进1"/>
    <w:basedOn w:val="1"/>
    <w:qFormat/>
    <w:uiPriority w:val="0"/>
    <w:pPr>
      <w:autoSpaceDE w:val="0"/>
      <w:autoSpaceDN w:val="0"/>
      <w:adjustRightInd w:val="0"/>
      <w:ind w:firstLine="420"/>
    </w:pPr>
    <w:rPr>
      <w:rFonts w:ascii="宋体" w:hAnsi="Calibri"/>
      <w:sz w:val="24"/>
      <w:szCs w:val="22"/>
    </w:rPr>
  </w:style>
  <w:style w:type="paragraph" w:customStyle="1" w:styleId="58">
    <w:name w:val="Table Paragraph"/>
    <w:basedOn w:val="1"/>
    <w:qFormat/>
    <w:uiPriority w:val="99"/>
    <w:pPr>
      <w:widowControl w:val="0"/>
    </w:pPr>
    <w:rPr>
      <w:rFonts w:ascii="宋体" w:hAnsi="宋体" w:cs="宋体"/>
      <w:sz w:val="22"/>
      <w:szCs w:val="22"/>
      <w:lang w:eastAsia="en-US"/>
    </w:rPr>
  </w:style>
  <w:style w:type="paragraph" w:customStyle="1" w:styleId="59">
    <w:name w:val="样式 样式 首行缩进:  2.57 字符 + 首行缩进:  2.57 字符"/>
    <w:basedOn w:val="1"/>
    <w:qFormat/>
    <w:uiPriority w:val="0"/>
    <w:pPr>
      <w:spacing w:line="360" w:lineRule="auto"/>
      <w:ind w:firstLine="771" w:firstLineChars="257"/>
    </w:pPr>
    <w:rPr>
      <w:rFonts w:eastAsia="仿宋" w:cs="宋体"/>
      <w:sz w:val="30"/>
      <w:szCs w:val="30"/>
    </w:rPr>
  </w:style>
  <w:style w:type="paragraph" w:customStyle="1" w:styleId="60">
    <w:name w:val="索引 11"/>
    <w:basedOn w:val="1"/>
    <w:next w:val="1"/>
    <w:qFormat/>
    <w:uiPriority w:val="0"/>
    <w:pPr>
      <w:spacing w:line="360" w:lineRule="auto"/>
    </w:pPr>
    <w:rPr>
      <w:rFonts w:ascii="仿宋_GB2312" w:eastAsia="仿宋_GB2312"/>
      <w:sz w:val="24"/>
      <w:szCs w:val="20"/>
    </w:rPr>
  </w:style>
  <w:style w:type="paragraph" w:customStyle="1" w:styleId="61">
    <w:name w:val="纯文本1"/>
    <w:basedOn w:val="1"/>
    <w:qFormat/>
    <w:uiPriority w:val="0"/>
    <w:rPr>
      <w:rFonts w:ascii="宋体" w:hAnsi="Courier New"/>
      <w:szCs w:val="22"/>
    </w:rPr>
  </w:style>
  <w:style w:type="paragraph" w:customStyle="1" w:styleId="62">
    <w:name w:val="一级条目"/>
    <w:basedOn w:val="1"/>
    <w:qFormat/>
    <w:uiPriority w:val="0"/>
    <w:pPr>
      <w:numPr>
        <w:ilvl w:val="0"/>
        <w:numId w:val="1"/>
      </w:numPr>
      <w:ind w:left="0" w:firstLine="200"/>
      <w:outlineLvl w:val="2"/>
    </w:pPr>
    <w:rPr>
      <w:szCs w:val="32"/>
    </w:rPr>
  </w:style>
  <w:style w:type="paragraph" w:customStyle="1" w:styleId="63">
    <w:name w:val="二级条目"/>
    <w:basedOn w:val="62"/>
    <w:qFormat/>
    <w:uiPriority w:val="0"/>
    <w:pPr>
      <w:numPr>
        <w:ilvl w:val="1"/>
      </w:numPr>
      <w:ind w:left="0" w:firstLine="200"/>
      <w:outlineLvl w:val="3"/>
    </w:pPr>
  </w:style>
  <w:style w:type="paragraph" w:customStyle="1" w:styleId="64">
    <w:name w:val="正文_12"/>
    <w:basedOn w:val="1"/>
    <w:qFormat/>
    <w:uiPriority w:val="0"/>
    <w:pPr>
      <w:widowControl w:val="0"/>
      <w:jc w:val="both"/>
    </w:pPr>
    <w:rPr>
      <w:rFonts w:ascii="Calibri" w:hAnsi="Calibri"/>
      <w:kern w:val="2"/>
    </w:rPr>
  </w:style>
  <w:style w:type="paragraph" w:customStyle="1" w:styleId="65">
    <w:name w:val="msonormalcxspmiddle"/>
    <w:basedOn w:val="1"/>
    <w:qFormat/>
    <w:uiPriority w:val="0"/>
    <w:pPr>
      <w:spacing w:before="100" w:beforeAutospacing="1" w:after="100" w:afterAutospacing="1"/>
    </w:pPr>
    <w:rPr>
      <w:rFonts w:ascii="宋体" w:hAnsi="宋体" w:cs="宋体"/>
      <w:sz w:val="24"/>
    </w:rPr>
  </w:style>
  <w:style w:type="paragraph" w:customStyle="1" w:styleId="66">
    <w:name w:val="列出段落1"/>
    <w:basedOn w:val="1"/>
    <w:qFormat/>
    <w:uiPriority w:val="1"/>
  </w:style>
  <w:style w:type="character" w:customStyle="1" w:styleId="67">
    <w:name w:val="批注框文本 字符"/>
    <w:basedOn w:val="36"/>
    <w:link w:val="19"/>
    <w:semiHidden/>
    <w:qFormat/>
    <w:uiPriority w:val="99"/>
    <w:rPr>
      <w:rFonts w:ascii="Times New Roman" w:hAnsi="Times New Roman"/>
      <w:sz w:val="18"/>
      <w:szCs w:val="18"/>
    </w:rPr>
  </w:style>
  <w:style w:type="paragraph" w:customStyle="1" w:styleId="68">
    <w:name w:val="列出段落2"/>
    <w:basedOn w:val="1"/>
    <w:qFormat/>
    <w:uiPriority w:val="0"/>
    <w:pPr>
      <w:ind w:firstLine="420" w:firstLineChars="200"/>
    </w:pPr>
  </w:style>
  <w:style w:type="paragraph" w:customStyle="1" w:styleId="69">
    <w:name w:val="第四行"/>
    <w:basedOn w:val="70"/>
    <w:qFormat/>
    <w:uiPriority w:val="0"/>
    <w:pPr>
      <w:tabs>
        <w:tab w:val="left" w:pos="1200"/>
      </w:tabs>
    </w:pPr>
    <w:rPr>
      <w:kern w:val="2"/>
      <w:sz w:val="28"/>
      <w:szCs w:val="20"/>
    </w:rPr>
  </w:style>
  <w:style w:type="paragraph" w:customStyle="1" w:styleId="70">
    <w:name w:val="第一行"/>
    <w:basedOn w:val="1"/>
    <w:qFormat/>
    <w:uiPriority w:val="0"/>
    <w:pPr>
      <w:tabs>
        <w:tab w:val="left" w:pos="1200"/>
      </w:tabs>
      <w:spacing w:beforeLines="100" w:line="360" w:lineRule="auto"/>
      <w:jc w:val="center"/>
    </w:pPr>
    <w:rPr>
      <w:rFonts w:ascii="宋体" w:hAnsi="Arial Narrow"/>
      <w:b/>
      <w:spacing w:val="40"/>
      <w:sz w:val="32"/>
    </w:rPr>
  </w:style>
  <w:style w:type="paragraph" w:customStyle="1" w:styleId="71">
    <w:name w:val="注"/>
    <w:basedOn w:val="1"/>
    <w:qFormat/>
    <w:uiPriority w:val="0"/>
    <w:pPr>
      <w:spacing w:line="360" w:lineRule="auto"/>
      <w:ind w:left="200" w:hanging="200" w:hangingChars="200"/>
      <w:jc w:val="both"/>
    </w:pPr>
    <w:rPr>
      <w:rFonts w:ascii="宋体" w:hAnsi="宋体"/>
      <w:b/>
      <w:kern w:val="2"/>
      <w:szCs w:val="20"/>
    </w:rPr>
  </w:style>
  <w:style w:type="character" w:customStyle="1" w:styleId="72">
    <w:name w:val="awspan"/>
    <w:basedOn w:val="36"/>
    <w:qFormat/>
    <w:uiPriority w:val="0"/>
  </w:style>
  <w:style w:type="paragraph" w:styleId="73">
    <w:name w:val="List Paragraph"/>
    <w:basedOn w:val="1"/>
    <w:qFormat/>
    <w:uiPriority w:val="99"/>
    <w:pPr>
      <w:ind w:firstLine="420" w:firstLineChars="200"/>
    </w:pPr>
  </w:style>
  <w:style w:type="paragraph" w:customStyle="1" w:styleId="74">
    <w:name w:val="列表段落1"/>
    <w:basedOn w:val="1"/>
    <w:qFormat/>
    <w:uiPriority w:val="0"/>
    <w:pPr>
      <w:ind w:firstLine="420" w:firstLineChars="200"/>
    </w:pPr>
  </w:style>
  <w:style w:type="paragraph" w:customStyle="1" w:styleId="75">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76">
    <w:name w:val="正文1"/>
    <w:basedOn w:val="1"/>
    <w:qFormat/>
    <w:uiPriority w:val="0"/>
    <w:pPr>
      <w:ind w:firstLine="200"/>
    </w:pPr>
    <w:rPr>
      <w:rFonts w:eastAsia="Times New Roman" w:cs="宋体"/>
      <w:kern w:val="0"/>
      <w:sz w:val="28"/>
      <w:szCs w:val="20"/>
      <w:lang w:eastAsia="en-US"/>
    </w:rPr>
  </w:style>
  <w:style w:type="paragraph" w:customStyle="1" w:styleId="77">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8">
    <w:name w:val="List Paragraph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57</Pages>
  <Words>16085</Words>
  <Characters>17087</Characters>
  <Lines>361</Lines>
  <Paragraphs>101</Paragraphs>
  <TotalTime>136</TotalTime>
  <ScaleCrop>false</ScaleCrop>
  <LinksUpToDate>false</LinksUpToDate>
  <CharactersWithSpaces>17498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2017-10-20T19:15:00Z</dcterms:created>
  <dc:creator>jsb</dc:creator>
  <cp:lastModifiedBy>S莉旋</cp:lastModifiedBy>
  <cp:lastPrinted>2025-12-08T00:39:00Z</cp:lastPrinted>
  <dcterms:modified xsi:type="dcterms:W3CDTF">2026-08-18T00:46:09Z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B3D1C1263F0941DAA3886986339828EE_13</vt:lpwstr>
  </property>
  <property fmtid="{D5CDD505-2E9C-101B-9397-08002B2CF9AE}" pid="4" name="KSOTemplateDocerSaveRecord">
    <vt:lpwstr>eyJoZGlkIjoiNDNlMzU2ZGU4NmI3MDJkNGVjMjg5OTY0Yzc2NTM2MDEiLCJ1c2VySWQiOiIyNTk5ODg4MDkifQ==</vt:lpwstr>
  </property>
</Properties>
</file>